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766D2D" w14:textId="77777777" w:rsidR="0034412C" w:rsidRPr="00696D62" w:rsidRDefault="0034412C" w:rsidP="00696D62">
      <w:pPr>
        <w:spacing w:after="0" w:line="240" w:lineRule="auto"/>
        <w:jc w:val="both"/>
        <w:rPr>
          <w:rFonts w:ascii="Arial" w:hAnsi="Arial" w:cs="Arial"/>
          <w:sz w:val="23"/>
          <w:szCs w:val="23"/>
        </w:rPr>
      </w:pPr>
    </w:p>
    <w:p w14:paraId="3BC8DF19" w14:textId="77777777" w:rsidR="00696D62" w:rsidRPr="003A58FF" w:rsidRDefault="00696D62" w:rsidP="00696D62">
      <w:pPr>
        <w:spacing w:after="0" w:line="240" w:lineRule="auto"/>
        <w:jc w:val="center"/>
        <w:rPr>
          <w:rFonts w:ascii="Arial" w:hAnsi="Arial" w:cs="Arial"/>
          <w:b/>
          <w:bCs/>
          <w:color w:val="000000"/>
          <w:sz w:val="23"/>
          <w:szCs w:val="23"/>
          <w:u w:val="single"/>
        </w:rPr>
      </w:pPr>
      <w:r w:rsidRPr="003A58FF">
        <w:rPr>
          <w:rFonts w:ascii="Arial" w:hAnsi="Arial" w:cs="Arial"/>
          <w:b/>
          <w:bCs/>
          <w:color w:val="000000"/>
          <w:sz w:val="23"/>
          <w:szCs w:val="23"/>
          <w:u w:val="single"/>
        </w:rPr>
        <w:t>COMUNICATO STAMPA</w:t>
      </w:r>
    </w:p>
    <w:p w14:paraId="40A817A8" w14:textId="77777777" w:rsidR="00696D62" w:rsidRPr="00696D62" w:rsidRDefault="00696D62" w:rsidP="00696D62">
      <w:pPr>
        <w:spacing w:after="0" w:line="240" w:lineRule="auto"/>
        <w:jc w:val="center"/>
        <w:rPr>
          <w:rFonts w:ascii="Arial" w:hAnsi="Arial" w:cs="Arial"/>
          <w:color w:val="000000"/>
          <w:sz w:val="23"/>
          <w:szCs w:val="23"/>
        </w:rPr>
      </w:pPr>
    </w:p>
    <w:p w14:paraId="2423854B" w14:textId="3C43015A" w:rsidR="00696D62" w:rsidRDefault="00696D62" w:rsidP="00696D62">
      <w:pPr>
        <w:spacing w:after="0" w:line="240" w:lineRule="auto"/>
        <w:jc w:val="center"/>
        <w:rPr>
          <w:rFonts w:ascii="Arial" w:hAnsi="Arial" w:cs="Arial"/>
          <w:b/>
          <w:bCs/>
          <w:color w:val="000000"/>
          <w:sz w:val="23"/>
          <w:szCs w:val="23"/>
        </w:rPr>
      </w:pPr>
      <w:r w:rsidRPr="00696D62">
        <w:rPr>
          <w:rFonts w:ascii="Arial" w:hAnsi="Arial" w:cs="Arial"/>
          <w:b/>
          <w:bCs/>
          <w:color w:val="000000"/>
          <w:sz w:val="23"/>
          <w:szCs w:val="23"/>
        </w:rPr>
        <w:t>DEPOSITO DEI BILANCI</w:t>
      </w:r>
      <w:r w:rsidR="00296BD9">
        <w:rPr>
          <w:rFonts w:ascii="Arial" w:hAnsi="Arial" w:cs="Arial"/>
          <w:b/>
          <w:bCs/>
          <w:color w:val="000000"/>
          <w:sz w:val="23"/>
          <w:szCs w:val="23"/>
        </w:rPr>
        <w:t>,</w:t>
      </w:r>
      <w:r w:rsidRPr="00696D62">
        <w:rPr>
          <w:rFonts w:ascii="Arial" w:hAnsi="Arial" w:cs="Arial"/>
          <w:b/>
          <w:bCs/>
          <w:color w:val="000000"/>
          <w:sz w:val="23"/>
          <w:szCs w:val="23"/>
        </w:rPr>
        <w:t xml:space="preserve"> COMMERCIALISTI</w:t>
      </w:r>
      <w:r w:rsidR="00296BD9">
        <w:rPr>
          <w:rFonts w:ascii="Arial" w:hAnsi="Arial" w:cs="Arial"/>
          <w:b/>
          <w:bCs/>
          <w:color w:val="000000"/>
          <w:sz w:val="23"/>
          <w:szCs w:val="23"/>
        </w:rPr>
        <w:t>:</w:t>
      </w:r>
      <w:r w:rsidRPr="00696D62">
        <w:rPr>
          <w:rFonts w:ascii="Arial" w:hAnsi="Arial" w:cs="Arial"/>
          <w:b/>
          <w:bCs/>
          <w:color w:val="000000"/>
          <w:sz w:val="23"/>
          <w:szCs w:val="23"/>
        </w:rPr>
        <w:t xml:space="preserve"> DAI TERRITORI PIENO SOSTEGNO ALLA POSIZIONE DEL CONSIGLIO NAZIONALE</w:t>
      </w:r>
    </w:p>
    <w:p w14:paraId="2214027B" w14:textId="77777777" w:rsidR="00696D62" w:rsidRPr="00696D62" w:rsidRDefault="00696D62" w:rsidP="00696D62">
      <w:pPr>
        <w:spacing w:after="0" w:line="240" w:lineRule="auto"/>
        <w:jc w:val="center"/>
        <w:rPr>
          <w:rFonts w:ascii="Arial" w:hAnsi="Arial" w:cs="Arial"/>
          <w:color w:val="000000"/>
          <w:sz w:val="23"/>
          <w:szCs w:val="23"/>
        </w:rPr>
      </w:pPr>
    </w:p>
    <w:p w14:paraId="01BD6577" w14:textId="77777777" w:rsidR="00696D62" w:rsidRDefault="00696D62" w:rsidP="00696D62">
      <w:pPr>
        <w:spacing w:after="0" w:line="240" w:lineRule="auto"/>
        <w:jc w:val="center"/>
        <w:rPr>
          <w:rFonts w:ascii="Arial" w:hAnsi="Arial" w:cs="Arial"/>
          <w:b/>
          <w:bCs/>
          <w:color w:val="000000"/>
          <w:sz w:val="23"/>
          <w:szCs w:val="23"/>
        </w:rPr>
      </w:pPr>
      <w:r w:rsidRPr="00696D62">
        <w:rPr>
          <w:rFonts w:ascii="Arial" w:hAnsi="Arial" w:cs="Arial"/>
          <w:b/>
          <w:bCs/>
          <w:color w:val="000000"/>
          <w:sz w:val="23"/>
          <w:szCs w:val="23"/>
        </w:rPr>
        <w:t>Tutti i coordinamenti regionali della categoria hanno sottoscritto un documento in cui condividono le ragioni del no all’estensione della funzione ai Consulenti del lavoro</w:t>
      </w:r>
    </w:p>
    <w:p w14:paraId="1B4D0F2C" w14:textId="77777777" w:rsidR="00696D62" w:rsidRPr="00696D62" w:rsidRDefault="00696D62" w:rsidP="00696D62">
      <w:pPr>
        <w:spacing w:after="0" w:line="240" w:lineRule="auto"/>
        <w:jc w:val="center"/>
        <w:rPr>
          <w:rFonts w:ascii="Arial" w:hAnsi="Arial" w:cs="Arial"/>
          <w:color w:val="000000"/>
          <w:sz w:val="23"/>
          <w:szCs w:val="23"/>
        </w:rPr>
      </w:pPr>
    </w:p>
    <w:p w14:paraId="59EA4A30" w14:textId="77777777" w:rsidR="00696D62" w:rsidRDefault="00696D62" w:rsidP="00696D62">
      <w:pPr>
        <w:spacing w:after="0" w:line="240" w:lineRule="auto"/>
        <w:jc w:val="both"/>
        <w:rPr>
          <w:rFonts w:ascii="Arial" w:hAnsi="Arial" w:cs="Arial"/>
          <w:color w:val="000000"/>
          <w:sz w:val="23"/>
          <w:szCs w:val="23"/>
        </w:rPr>
      </w:pPr>
      <w:r w:rsidRPr="00696D62">
        <w:rPr>
          <w:rFonts w:ascii="Arial" w:hAnsi="Arial" w:cs="Arial"/>
          <w:i/>
          <w:iCs/>
          <w:color w:val="000000"/>
          <w:sz w:val="23"/>
          <w:szCs w:val="23"/>
        </w:rPr>
        <w:t>Roma, 28 settembre 2026 –</w:t>
      </w:r>
      <w:r w:rsidRPr="00696D62">
        <w:rPr>
          <w:rFonts w:ascii="Arial" w:hAnsi="Arial" w:cs="Arial"/>
          <w:color w:val="000000"/>
          <w:sz w:val="23"/>
          <w:szCs w:val="23"/>
        </w:rPr>
        <w:t xml:space="preserve"> Tutti i </w:t>
      </w:r>
      <w:r w:rsidRPr="00296BD9">
        <w:rPr>
          <w:rFonts w:ascii="Arial" w:hAnsi="Arial" w:cs="Arial"/>
          <w:b/>
          <w:bCs/>
          <w:color w:val="000000"/>
          <w:sz w:val="23"/>
          <w:szCs w:val="23"/>
        </w:rPr>
        <w:t>Coordinamenti regionali degli Ordini dei Dottori Commercialisti e degli Esperti Contabili</w:t>
      </w:r>
      <w:r w:rsidRPr="00696D62">
        <w:rPr>
          <w:rFonts w:ascii="Arial" w:hAnsi="Arial" w:cs="Arial"/>
          <w:color w:val="000000"/>
          <w:sz w:val="23"/>
          <w:szCs w:val="23"/>
        </w:rPr>
        <w:t xml:space="preserve"> hanno sottoscritto un </w:t>
      </w:r>
      <w:r w:rsidRPr="00296BD9">
        <w:rPr>
          <w:rFonts w:ascii="Arial" w:hAnsi="Arial" w:cs="Arial"/>
          <w:b/>
          <w:bCs/>
          <w:color w:val="000000"/>
          <w:sz w:val="23"/>
          <w:szCs w:val="23"/>
        </w:rPr>
        <w:t>documento “di piena condivisione” della posizione assunta dal Consiglio nazionale</w:t>
      </w:r>
      <w:r w:rsidRPr="00696D62">
        <w:rPr>
          <w:rFonts w:ascii="Arial" w:hAnsi="Arial" w:cs="Arial"/>
          <w:color w:val="000000"/>
          <w:sz w:val="23"/>
          <w:szCs w:val="23"/>
        </w:rPr>
        <w:t xml:space="preserve">, in rappresentanza dei 120mila iscritti alla categoria, </w:t>
      </w:r>
      <w:r w:rsidRPr="00296BD9">
        <w:rPr>
          <w:rFonts w:ascii="Arial" w:hAnsi="Arial" w:cs="Arial"/>
          <w:b/>
          <w:bCs/>
          <w:color w:val="000000"/>
          <w:sz w:val="23"/>
          <w:szCs w:val="23"/>
        </w:rPr>
        <w:t>contro la norma del Ddl Concorrenza</w:t>
      </w:r>
      <w:r w:rsidRPr="00696D62">
        <w:rPr>
          <w:rFonts w:ascii="Arial" w:hAnsi="Arial" w:cs="Arial"/>
          <w:color w:val="000000"/>
          <w:sz w:val="23"/>
          <w:szCs w:val="23"/>
        </w:rPr>
        <w:t xml:space="preserve"> che intende estendere ai Consulenti del lavoro la facoltà di depositare i bilanci presso il Registro delle imprese.</w:t>
      </w:r>
    </w:p>
    <w:p w14:paraId="521E8ED1" w14:textId="77777777" w:rsidR="00696D62" w:rsidRPr="00696D62" w:rsidRDefault="00696D62" w:rsidP="00696D62">
      <w:pPr>
        <w:spacing w:after="0" w:line="240" w:lineRule="auto"/>
        <w:jc w:val="both"/>
        <w:rPr>
          <w:rFonts w:ascii="Arial" w:hAnsi="Arial" w:cs="Arial"/>
          <w:color w:val="000000"/>
          <w:sz w:val="23"/>
          <w:szCs w:val="23"/>
        </w:rPr>
      </w:pPr>
    </w:p>
    <w:p w14:paraId="0C2D09FB" w14:textId="77777777" w:rsidR="00696D62" w:rsidRDefault="00696D62" w:rsidP="00696D62">
      <w:pPr>
        <w:spacing w:after="0" w:line="240" w:lineRule="auto"/>
        <w:jc w:val="both"/>
        <w:rPr>
          <w:rFonts w:ascii="Arial" w:hAnsi="Arial" w:cs="Arial"/>
          <w:color w:val="000000"/>
          <w:sz w:val="23"/>
          <w:szCs w:val="23"/>
        </w:rPr>
      </w:pPr>
      <w:r w:rsidRPr="00696D62">
        <w:rPr>
          <w:rFonts w:ascii="Arial" w:hAnsi="Arial" w:cs="Arial"/>
          <w:color w:val="000000"/>
          <w:sz w:val="23"/>
          <w:szCs w:val="23"/>
        </w:rPr>
        <w:t>Nella nota i Coordinamenti ricordano come “l’articolo 31, commi 2-quater e 2-quinquies, della legge n. 340/2000 attribuisce oggi questa funzione agli iscritti nell’Albo dei Dottori Commercialisti e degli Esperti Contabili. Non si tratta della semplice trasmissione di un file: il professionista incaricato opera nell’ambito della pubblicità legale dell’impresa e attesta, sotto la propria responsabilità, la conformità dei documenti trasmessi agli originali. Una funzione coerentemente attribuita a una professione il cui ordinamento riconosce una specifica competenza nelle materie economico-aziendali, societarie e contabili e il cui percorso di accesso prevede formazione universitaria, tirocinio ed esame di Stato nelle discipline che riguardano direttamente contabilità e bilancio”.</w:t>
      </w:r>
    </w:p>
    <w:p w14:paraId="02A7D6AC" w14:textId="77777777" w:rsidR="00696D62" w:rsidRPr="00696D62" w:rsidRDefault="00696D62" w:rsidP="00696D62">
      <w:pPr>
        <w:spacing w:after="0" w:line="240" w:lineRule="auto"/>
        <w:jc w:val="both"/>
        <w:rPr>
          <w:rFonts w:ascii="Arial" w:hAnsi="Arial" w:cs="Arial"/>
          <w:color w:val="000000"/>
          <w:sz w:val="23"/>
          <w:szCs w:val="23"/>
        </w:rPr>
      </w:pPr>
    </w:p>
    <w:p w14:paraId="36E493F0" w14:textId="77777777" w:rsidR="00696D62" w:rsidRDefault="00696D62" w:rsidP="00696D62">
      <w:pPr>
        <w:spacing w:after="0" w:line="240" w:lineRule="auto"/>
        <w:jc w:val="both"/>
        <w:rPr>
          <w:rFonts w:ascii="Arial" w:hAnsi="Arial" w:cs="Arial"/>
          <w:color w:val="000000"/>
          <w:sz w:val="23"/>
          <w:szCs w:val="23"/>
        </w:rPr>
      </w:pPr>
      <w:r w:rsidRPr="00696D62">
        <w:rPr>
          <w:rFonts w:ascii="Arial" w:hAnsi="Arial" w:cs="Arial"/>
          <w:color w:val="000000"/>
          <w:sz w:val="23"/>
          <w:szCs w:val="23"/>
        </w:rPr>
        <w:t>“Diverso - proseguono - è il perimetro professionale dei Consulenti del lavoro, storicamente incentrato sul diritto del lavoro, sulla previdenza e sull’amministrazione del personale. La stessa composizione del relativo Albo dimostra, inoltre, che l’iscrizione non ha sempre presupposto un percorso formativo economico-contabile omogeneo: la legge n. 12/1979 ha consentito la permanenza nell’Albo di soggetti già iscritti anche in deroga ai requisiti di titolo di studio e abilitazione e, per lungo tempo, l’accesso alla professione è stato consentito attraverso percorsi differenti da quelli propri dell’area economico-aziendale”.</w:t>
      </w:r>
    </w:p>
    <w:p w14:paraId="589B9662" w14:textId="77777777" w:rsidR="00696D62" w:rsidRPr="00696D62" w:rsidRDefault="00696D62" w:rsidP="00696D62">
      <w:pPr>
        <w:spacing w:after="0" w:line="240" w:lineRule="auto"/>
        <w:jc w:val="both"/>
        <w:rPr>
          <w:rFonts w:ascii="Arial" w:hAnsi="Arial" w:cs="Arial"/>
          <w:color w:val="000000"/>
          <w:sz w:val="23"/>
          <w:szCs w:val="23"/>
        </w:rPr>
      </w:pPr>
    </w:p>
    <w:p w14:paraId="7A0C290A" w14:textId="77777777" w:rsidR="00696D62" w:rsidRDefault="00696D62" w:rsidP="00696D62">
      <w:pPr>
        <w:spacing w:after="0" w:line="240" w:lineRule="auto"/>
        <w:jc w:val="both"/>
        <w:rPr>
          <w:rFonts w:ascii="Arial" w:hAnsi="Arial" w:cs="Arial"/>
          <w:color w:val="000000"/>
          <w:sz w:val="23"/>
          <w:szCs w:val="23"/>
        </w:rPr>
      </w:pPr>
      <w:r w:rsidRPr="00696D62">
        <w:rPr>
          <w:rFonts w:ascii="Arial" w:hAnsi="Arial" w:cs="Arial"/>
          <w:color w:val="000000"/>
          <w:sz w:val="23"/>
          <w:szCs w:val="23"/>
        </w:rPr>
        <w:t>Per i commercialisti “la questione non riguarda la dignità di una professione rispetto a un’altra, ma un principio di chiarezza dell’ordinamento: le funzioni professionali devono essere coerenti con le competenze che lo Stato richiede, verifica e mantiene attraverso formazione, esame di Stato e aggiornamento professionale. Il bilancio è il principale documento di informazione economico-finanziaria dell’impresa verso soci, creditori, banche, pubbliche amministrazioni e mercato. Il suo deposito non può essere considerato un’attività indistinta e fungibile”.</w:t>
      </w:r>
    </w:p>
    <w:p w14:paraId="65DC7A64" w14:textId="77777777" w:rsidR="00696D62" w:rsidRPr="00696D62" w:rsidRDefault="00696D62" w:rsidP="00696D62">
      <w:pPr>
        <w:spacing w:after="0" w:line="240" w:lineRule="auto"/>
        <w:jc w:val="both"/>
        <w:rPr>
          <w:rFonts w:ascii="Arial" w:hAnsi="Arial" w:cs="Arial"/>
          <w:color w:val="000000"/>
          <w:sz w:val="23"/>
          <w:szCs w:val="23"/>
        </w:rPr>
      </w:pPr>
    </w:p>
    <w:p w14:paraId="3F8F5015" w14:textId="77777777" w:rsidR="00696D62" w:rsidRDefault="00696D62" w:rsidP="00696D62">
      <w:pPr>
        <w:spacing w:after="0" w:line="240" w:lineRule="auto"/>
        <w:jc w:val="both"/>
        <w:rPr>
          <w:rFonts w:ascii="Arial" w:hAnsi="Arial" w:cs="Arial"/>
          <w:color w:val="000000"/>
          <w:sz w:val="23"/>
          <w:szCs w:val="23"/>
        </w:rPr>
      </w:pPr>
      <w:proofErr w:type="spellStart"/>
      <w:r w:rsidRPr="00696D62">
        <w:rPr>
          <w:rFonts w:ascii="Arial" w:hAnsi="Arial" w:cs="Arial"/>
          <w:color w:val="000000"/>
          <w:sz w:val="23"/>
          <w:szCs w:val="23"/>
        </w:rPr>
        <w:t>l</w:t>
      </w:r>
      <w:proofErr w:type="spellEnd"/>
      <w:r w:rsidRPr="00696D62">
        <w:rPr>
          <w:rFonts w:ascii="Arial" w:hAnsi="Arial" w:cs="Arial"/>
          <w:color w:val="000000"/>
          <w:sz w:val="23"/>
          <w:szCs w:val="23"/>
        </w:rPr>
        <w:t xml:space="preserve"> Coordinamenti ricordano inoltre che “quello attuale rappresenta il terzo tentativo di modificare questa disciplina. Analoghe iniziative furono avanzate nel luglio 2022 e nel novembre 2023, senza giungere a modificare l’assetto normativo vigente e dopo che, nei relativi passaggi istituzionali, il Ministero della Giustizia aveva espresso valutazioni negative sull’estensione. È legittimo quindi chiedersi quali elementi nuovi giustifichino oggi il superamento di valutazioni già formulate sul medesimo tema. Non siamo di fronte a un vuoto normativo da colmare, ma a una disciplina costruita consapevolmente dal legislatore e già più volte sottoposta a tentativi di modifica”.</w:t>
      </w:r>
    </w:p>
    <w:p w14:paraId="5F8BA3FA" w14:textId="77777777" w:rsidR="00696D62" w:rsidRPr="00696D62" w:rsidRDefault="00696D62" w:rsidP="00696D62">
      <w:pPr>
        <w:spacing w:after="0" w:line="240" w:lineRule="auto"/>
        <w:jc w:val="both"/>
        <w:rPr>
          <w:rFonts w:ascii="Arial" w:hAnsi="Arial" w:cs="Arial"/>
          <w:color w:val="000000"/>
          <w:sz w:val="23"/>
          <w:szCs w:val="23"/>
        </w:rPr>
      </w:pPr>
    </w:p>
    <w:p w14:paraId="77FFFB62" w14:textId="77777777" w:rsidR="00696D62" w:rsidRDefault="00696D62" w:rsidP="00696D62">
      <w:pPr>
        <w:spacing w:after="0" w:line="240" w:lineRule="auto"/>
        <w:jc w:val="both"/>
        <w:rPr>
          <w:rFonts w:ascii="Arial" w:hAnsi="Arial" w:cs="Arial"/>
          <w:color w:val="000000"/>
          <w:sz w:val="23"/>
          <w:szCs w:val="23"/>
        </w:rPr>
      </w:pPr>
      <w:r w:rsidRPr="00696D62">
        <w:rPr>
          <w:rFonts w:ascii="Arial" w:hAnsi="Arial" w:cs="Arial"/>
          <w:color w:val="000000"/>
          <w:sz w:val="23"/>
          <w:szCs w:val="23"/>
        </w:rPr>
        <w:t xml:space="preserve">“Appare inoltre singolare che una simile estensione venga proposta nell’ambito del Ddl Concorrenza. Se il deposito fosse davvero un mero adempimento materiale privo di specifico </w:t>
      </w:r>
      <w:r w:rsidRPr="00696D62">
        <w:rPr>
          <w:rFonts w:ascii="Arial" w:hAnsi="Arial" w:cs="Arial"/>
          <w:color w:val="000000"/>
          <w:sz w:val="23"/>
          <w:szCs w:val="23"/>
        </w:rPr>
        <w:lastRenderedPageBreak/>
        <w:t>contenuto professionale, non si comprenderebbe la ragione di attribuirlo selettivamente a un’ulteriore categoria regolamentata. Se, invece, esso mantiene una connessione con le competenze economico-aziendali e con la responsabilità del professionista incaricato, allora il criterio della formazione specifica non può essere ignorato” aggiungono.</w:t>
      </w:r>
    </w:p>
    <w:p w14:paraId="2F2FDA15" w14:textId="77777777" w:rsidR="00696D62" w:rsidRPr="00696D62" w:rsidRDefault="00696D62" w:rsidP="00696D62">
      <w:pPr>
        <w:spacing w:after="0" w:line="240" w:lineRule="auto"/>
        <w:jc w:val="both"/>
        <w:rPr>
          <w:rFonts w:ascii="Arial" w:hAnsi="Arial" w:cs="Arial"/>
          <w:color w:val="000000"/>
          <w:sz w:val="23"/>
          <w:szCs w:val="23"/>
        </w:rPr>
      </w:pPr>
    </w:p>
    <w:p w14:paraId="325BE2ED" w14:textId="77777777" w:rsidR="00696D62" w:rsidRPr="00696D62" w:rsidRDefault="00696D62" w:rsidP="00696D62">
      <w:pPr>
        <w:spacing w:after="0" w:line="240" w:lineRule="auto"/>
        <w:jc w:val="both"/>
        <w:rPr>
          <w:rFonts w:ascii="Arial" w:hAnsi="Arial" w:cs="Arial"/>
          <w:color w:val="000000"/>
          <w:sz w:val="23"/>
          <w:szCs w:val="23"/>
        </w:rPr>
      </w:pPr>
      <w:r w:rsidRPr="00696D62">
        <w:rPr>
          <w:rFonts w:ascii="Arial" w:hAnsi="Arial" w:cs="Arial"/>
          <w:color w:val="000000"/>
          <w:sz w:val="23"/>
          <w:szCs w:val="23"/>
        </w:rPr>
        <w:t>“I Commercialisti dei territori – concludono - sosterranno quindi le iniziative del Consiglio Nazionale affinché la disposizione venga riconsiderata nel corso dell’esame parlamentare. Non difendiamo un privilegio di categoria. Difendiamo un principio: il cittadino e l’impresa devono sapere chi è abilitato a fare cosa e quali competenze l’ordinamento garantisce dietro quella abilitazione. La concorrenza si rafforza con competenze chiare e responsabilità definite, non facendo passare il principio che tutti possano fare tutto”.</w:t>
      </w:r>
    </w:p>
    <w:p w14:paraId="0A1D6F8C" w14:textId="77777777" w:rsidR="00696D62" w:rsidRPr="00696D62" w:rsidRDefault="00696D62" w:rsidP="00696D62">
      <w:pPr>
        <w:spacing w:after="0" w:line="240" w:lineRule="auto"/>
        <w:rPr>
          <w:rFonts w:ascii="Arial" w:hAnsi="Arial" w:cs="Arial"/>
          <w:color w:val="000000"/>
          <w:sz w:val="23"/>
          <w:szCs w:val="23"/>
        </w:rPr>
      </w:pPr>
    </w:p>
    <w:p w14:paraId="6F09E8D4" w14:textId="26DE5E00" w:rsidR="00651CA0" w:rsidRPr="00547549" w:rsidRDefault="00651CA0" w:rsidP="00696D62">
      <w:pPr>
        <w:spacing w:after="0" w:line="240" w:lineRule="auto"/>
        <w:jc w:val="center"/>
        <w:rPr>
          <w:rFonts w:ascii="Arial" w:hAnsi="Arial" w:cs="Arial"/>
          <w:sz w:val="23"/>
          <w:szCs w:val="23"/>
        </w:rPr>
      </w:pPr>
    </w:p>
    <w:sectPr w:rsidR="00651CA0" w:rsidRPr="00547549">
      <w:headerReference w:type="default" r:id="rId6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790B3E" w14:textId="77777777" w:rsidR="00B1554C" w:rsidRDefault="00B1554C" w:rsidP="005924AA">
      <w:pPr>
        <w:spacing w:after="0" w:line="240" w:lineRule="auto"/>
      </w:pPr>
      <w:r>
        <w:separator/>
      </w:r>
    </w:p>
  </w:endnote>
  <w:endnote w:type="continuationSeparator" w:id="0">
    <w:p w14:paraId="3895393C" w14:textId="77777777" w:rsidR="00B1554C" w:rsidRDefault="00B1554C" w:rsidP="005924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2BBA7E" w14:textId="77777777" w:rsidR="00B1554C" w:rsidRDefault="00B1554C" w:rsidP="005924AA">
      <w:pPr>
        <w:spacing w:after="0" w:line="240" w:lineRule="auto"/>
      </w:pPr>
      <w:r>
        <w:separator/>
      </w:r>
    </w:p>
  </w:footnote>
  <w:footnote w:type="continuationSeparator" w:id="0">
    <w:p w14:paraId="31BBB83F" w14:textId="77777777" w:rsidR="00B1554C" w:rsidRDefault="00B1554C" w:rsidP="005924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092919" w14:textId="266CD1EC" w:rsidR="005924AA" w:rsidRDefault="005924AA" w:rsidP="005924AA">
    <w:pPr>
      <w:pStyle w:val="Intestazione"/>
      <w:jc w:val="center"/>
    </w:pPr>
    <w:r>
      <w:rPr>
        <w:noProof/>
        <w:color w:val="000000"/>
      </w:rPr>
      <w:drawing>
        <wp:inline distT="0" distB="0" distL="0" distR="0" wp14:anchorId="37BE15AA" wp14:editId="1251E6D0">
          <wp:extent cx="2528764" cy="858955"/>
          <wp:effectExtent l="0" t="0" r="0" b="0"/>
          <wp:docPr id="184792344" name="image1.png" descr="CNDCEC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CNDCEC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528764" cy="85895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505C"/>
    <w:rsid w:val="00064A2F"/>
    <w:rsid w:val="0007505C"/>
    <w:rsid w:val="00086EC2"/>
    <w:rsid w:val="000955D9"/>
    <w:rsid w:val="000B62A6"/>
    <w:rsid w:val="000C05DE"/>
    <w:rsid w:val="000C2177"/>
    <w:rsid w:val="000D7EEF"/>
    <w:rsid w:val="000F2D28"/>
    <w:rsid w:val="00120AAA"/>
    <w:rsid w:val="0012316F"/>
    <w:rsid w:val="00141383"/>
    <w:rsid w:val="0016023F"/>
    <w:rsid w:val="001678B0"/>
    <w:rsid w:val="00181182"/>
    <w:rsid w:val="0018274F"/>
    <w:rsid w:val="001A1432"/>
    <w:rsid w:val="001F11F3"/>
    <w:rsid w:val="0025357C"/>
    <w:rsid w:val="00296BD9"/>
    <w:rsid w:val="00316C8A"/>
    <w:rsid w:val="00333625"/>
    <w:rsid w:val="0034412C"/>
    <w:rsid w:val="00371BF8"/>
    <w:rsid w:val="003949EB"/>
    <w:rsid w:val="003A3EE8"/>
    <w:rsid w:val="003A58FF"/>
    <w:rsid w:val="003B5262"/>
    <w:rsid w:val="003B574A"/>
    <w:rsid w:val="003E2556"/>
    <w:rsid w:val="003F4FF4"/>
    <w:rsid w:val="00434A2A"/>
    <w:rsid w:val="00457445"/>
    <w:rsid w:val="00460A76"/>
    <w:rsid w:val="00464F84"/>
    <w:rsid w:val="00471104"/>
    <w:rsid w:val="004727EA"/>
    <w:rsid w:val="004758D4"/>
    <w:rsid w:val="00511A28"/>
    <w:rsid w:val="00515E73"/>
    <w:rsid w:val="00547549"/>
    <w:rsid w:val="00552257"/>
    <w:rsid w:val="005924AA"/>
    <w:rsid w:val="005B160E"/>
    <w:rsid w:val="005C408D"/>
    <w:rsid w:val="005D6397"/>
    <w:rsid w:val="005E341C"/>
    <w:rsid w:val="005F5759"/>
    <w:rsid w:val="005F5CD0"/>
    <w:rsid w:val="00605E5D"/>
    <w:rsid w:val="00607512"/>
    <w:rsid w:val="006517B7"/>
    <w:rsid w:val="00651CA0"/>
    <w:rsid w:val="00651E47"/>
    <w:rsid w:val="00674365"/>
    <w:rsid w:val="00696D62"/>
    <w:rsid w:val="006A2BB3"/>
    <w:rsid w:val="006A3980"/>
    <w:rsid w:val="006B3A85"/>
    <w:rsid w:val="006C59BE"/>
    <w:rsid w:val="006D343B"/>
    <w:rsid w:val="006E5FD4"/>
    <w:rsid w:val="00704D71"/>
    <w:rsid w:val="00710059"/>
    <w:rsid w:val="00744E87"/>
    <w:rsid w:val="00777241"/>
    <w:rsid w:val="0079699C"/>
    <w:rsid w:val="007C0CEB"/>
    <w:rsid w:val="007C185C"/>
    <w:rsid w:val="007C1F26"/>
    <w:rsid w:val="007E44AD"/>
    <w:rsid w:val="007F26C0"/>
    <w:rsid w:val="008260E6"/>
    <w:rsid w:val="00871D8C"/>
    <w:rsid w:val="008B187E"/>
    <w:rsid w:val="008D3E4B"/>
    <w:rsid w:val="008E5982"/>
    <w:rsid w:val="00916FAF"/>
    <w:rsid w:val="00965FD8"/>
    <w:rsid w:val="00982972"/>
    <w:rsid w:val="00993D06"/>
    <w:rsid w:val="009E39B5"/>
    <w:rsid w:val="00A05CB5"/>
    <w:rsid w:val="00A4589B"/>
    <w:rsid w:val="00A6732C"/>
    <w:rsid w:val="00AD6A82"/>
    <w:rsid w:val="00AE6F0D"/>
    <w:rsid w:val="00AF305F"/>
    <w:rsid w:val="00AF4569"/>
    <w:rsid w:val="00AF7255"/>
    <w:rsid w:val="00B1554C"/>
    <w:rsid w:val="00B34B17"/>
    <w:rsid w:val="00B65D1B"/>
    <w:rsid w:val="00BB00CD"/>
    <w:rsid w:val="00BB4721"/>
    <w:rsid w:val="00BE77B4"/>
    <w:rsid w:val="00C30E35"/>
    <w:rsid w:val="00C46B18"/>
    <w:rsid w:val="00C64EBF"/>
    <w:rsid w:val="00C80583"/>
    <w:rsid w:val="00C87D3E"/>
    <w:rsid w:val="00CA4C27"/>
    <w:rsid w:val="00D05847"/>
    <w:rsid w:val="00D07D2C"/>
    <w:rsid w:val="00D50AD9"/>
    <w:rsid w:val="00DC5AEF"/>
    <w:rsid w:val="00DD126D"/>
    <w:rsid w:val="00DD2CA9"/>
    <w:rsid w:val="00DE2CAC"/>
    <w:rsid w:val="00DE34D0"/>
    <w:rsid w:val="00DE616C"/>
    <w:rsid w:val="00DF494C"/>
    <w:rsid w:val="00DF513F"/>
    <w:rsid w:val="00E36BA3"/>
    <w:rsid w:val="00E37988"/>
    <w:rsid w:val="00E41B58"/>
    <w:rsid w:val="00E63C06"/>
    <w:rsid w:val="00E82CBD"/>
    <w:rsid w:val="00EA40FF"/>
    <w:rsid w:val="00ED4C7C"/>
    <w:rsid w:val="00F86C15"/>
    <w:rsid w:val="00FD1850"/>
    <w:rsid w:val="00FE7691"/>
    <w:rsid w:val="00FE7B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8DB3C0"/>
  <w15:chartTrackingRefBased/>
  <w15:docId w15:val="{1F96C44E-0319-4653-9B4E-5EB492DB1A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0750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0750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0750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0750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0750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0750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0750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0750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0750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075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075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075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07505C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07505C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07505C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07505C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07505C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07505C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075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075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0750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075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075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07505C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07505C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07505C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075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07505C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07505C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5924A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924AA"/>
  </w:style>
  <w:style w:type="paragraph" w:styleId="Pidipagina">
    <w:name w:val="footer"/>
    <w:basedOn w:val="Normale"/>
    <w:link w:val="PidipaginaCarattere"/>
    <w:uiPriority w:val="99"/>
    <w:unhideWhenUsed/>
    <w:rsid w:val="005924A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924AA"/>
  </w:style>
  <w:style w:type="character" w:styleId="Collegamentoipertestuale">
    <w:name w:val="Hyperlink"/>
    <w:basedOn w:val="Carpredefinitoparagrafo"/>
    <w:uiPriority w:val="99"/>
    <w:unhideWhenUsed/>
    <w:rsid w:val="00A4589B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A4589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665</Words>
  <Characters>3793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Mastrogiacomo Tiziana</dc:creator>
  <cp:keywords/>
  <dc:description/>
  <cp:lastModifiedBy>Tiziana</cp:lastModifiedBy>
  <cp:revision>25</cp:revision>
  <dcterms:created xsi:type="dcterms:W3CDTF">2026-07-31T08:49:00Z</dcterms:created>
  <dcterms:modified xsi:type="dcterms:W3CDTF">2026-09-29T09:24:00Z</dcterms:modified>
</cp:coreProperties>
</file>