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57E1" w14:textId="77777777" w:rsidR="0053767A" w:rsidRPr="009577EA" w:rsidRDefault="0053767A" w:rsidP="00E9381D">
      <w:pPr>
        <w:jc w:val="center"/>
        <w:rPr>
          <w:rFonts w:ascii="Arial" w:eastAsia="Tahoma" w:hAnsi="Arial" w:cs="Arial"/>
          <w:b/>
          <w:bCs/>
          <w:sz w:val="23"/>
          <w:szCs w:val="23"/>
        </w:rPr>
      </w:pPr>
    </w:p>
    <w:p w14:paraId="11DCC52B" w14:textId="77777777" w:rsidR="00C065BA" w:rsidRPr="00741EB1" w:rsidRDefault="00C065BA" w:rsidP="00741EB1">
      <w:pPr>
        <w:pStyle w:val="NormaleWeb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083589EB" w14:textId="77777777" w:rsidR="000F4462" w:rsidRDefault="000F4462" w:rsidP="000F4462">
      <w:pPr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C</w:t>
      </w:r>
      <w:r>
        <w:rPr>
          <w:rFonts w:ascii="Arial" w:hAnsi="Arial" w:cs="Arial"/>
          <w:b/>
          <w:bCs/>
          <w:sz w:val="23"/>
          <w:szCs w:val="23"/>
          <w:u w:val="single"/>
        </w:rPr>
        <w:t>omunicato stampa</w:t>
      </w:r>
    </w:p>
    <w:p w14:paraId="08F8A06A" w14:textId="77777777" w:rsidR="000F4462" w:rsidRDefault="000F4462" w:rsidP="000F4462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452EC425" w14:textId="77777777" w:rsidR="000F4462" w:rsidRDefault="000F4462" w:rsidP="000F4462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CONCORDATO PREVENTIVO BIENNALE, UNA GUIDA OPERATIVA DA CNDCEC E AGENZIA DELLE ENTRATE</w:t>
      </w:r>
    </w:p>
    <w:p w14:paraId="39B3801D" w14:textId="77777777" w:rsidR="000F4462" w:rsidRDefault="000F4462" w:rsidP="000F4462">
      <w:pPr>
        <w:jc w:val="center"/>
        <w:rPr>
          <w:rFonts w:ascii="Arial" w:hAnsi="Arial" w:cs="Arial"/>
          <w:color w:val="000000"/>
          <w:sz w:val="23"/>
          <w:szCs w:val="23"/>
        </w:rPr>
      </w:pPr>
    </w:p>
    <w:p w14:paraId="2E279DC7" w14:textId="77777777" w:rsidR="000F4462" w:rsidRDefault="000F4462" w:rsidP="000F4462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Un utile strumento che riepiloga la disciplina in materia valevole sia per coloro che aderiscono per la prima volta per il biennio 2026-2027 sia per coloro che, avendo già aderito nel biennio 2024-2025, intendono rinnovare l’adesione</w:t>
      </w:r>
    </w:p>
    <w:p w14:paraId="40DCA912" w14:textId="77777777" w:rsidR="000F4462" w:rsidRDefault="000F4462" w:rsidP="000F4462">
      <w:pPr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6C4EDFD8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i/>
          <w:iCs/>
          <w:color w:val="000000"/>
          <w:sz w:val="23"/>
          <w:szCs w:val="23"/>
        </w:rPr>
        <w:t xml:space="preserve">Roma, 16 settembre 2026 - </w:t>
      </w:r>
      <w:r>
        <w:rPr>
          <w:rFonts w:ascii="Arial" w:hAnsi="Arial" w:cs="Arial"/>
          <w:color w:val="000000"/>
          <w:sz w:val="23"/>
          <w:szCs w:val="23"/>
        </w:rPr>
        <w:t xml:space="preserve">Il Consiglio Nazionale, in collaborazione con l’Agenzia delle Entrate, ha predisposto una </w:t>
      </w:r>
      <w:r>
        <w:rPr>
          <w:rFonts w:ascii="Arial" w:hAnsi="Arial" w:cs="Arial"/>
          <w:b/>
          <w:bCs/>
          <w:color w:val="000000"/>
          <w:sz w:val="23"/>
          <w:szCs w:val="23"/>
        </w:rPr>
        <w:t>Guida operativa</w:t>
      </w:r>
      <w:r>
        <w:rPr>
          <w:rFonts w:ascii="Arial" w:hAnsi="Arial" w:cs="Arial"/>
          <w:color w:val="000000"/>
          <w:sz w:val="23"/>
          <w:szCs w:val="23"/>
        </w:rPr>
        <w:t xml:space="preserve"> sul </w:t>
      </w:r>
      <w:r>
        <w:rPr>
          <w:rFonts w:ascii="Arial" w:hAnsi="Arial" w:cs="Arial"/>
          <w:b/>
          <w:bCs/>
          <w:color w:val="000000"/>
          <w:sz w:val="23"/>
          <w:szCs w:val="23"/>
        </w:rPr>
        <w:t>concordato preventivo biennale</w:t>
      </w:r>
      <w:r>
        <w:rPr>
          <w:rFonts w:ascii="Arial" w:hAnsi="Arial" w:cs="Arial"/>
          <w:color w:val="000000"/>
          <w:sz w:val="23"/>
          <w:szCs w:val="23"/>
        </w:rPr>
        <w:t>, che riepiloga la disciplina in materia valevole sia per coloro che aderiscono per la prima volta per il biennio 2026-2027 sia per coloro che, avendo già aderito nel biennio 2024-2025, intendono rinnovare l’adesione.</w:t>
      </w:r>
    </w:p>
    <w:p w14:paraId="4D6D2A21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</w:p>
    <w:p w14:paraId="28EE462D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Nella Guida, che rappresenta un utile strumento di </w:t>
      </w:r>
      <w:r>
        <w:rPr>
          <w:rFonts w:ascii="Arial" w:hAnsi="Arial" w:cs="Arial"/>
          <w:b/>
          <w:bCs/>
          <w:color w:val="000000"/>
          <w:sz w:val="23"/>
          <w:szCs w:val="23"/>
        </w:rPr>
        <w:t>veloce consultazione</w:t>
      </w:r>
      <w:r>
        <w:rPr>
          <w:rFonts w:ascii="Arial" w:hAnsi="Arial" w:cs="Arial"/>
          <w:color w:val="000000"/>
          <w:sz w:val="23"/>
          <w:szCs w:val="23"/>
        </w:rPr>
        <w:t xml:space="preserve"> per tutti i Colleghi, sono illustrate anche le novità introdotte dal </w:t>
      </w:r>
      <w:r>
        <w:rPr>
          <w:rFonts w:ascii="Arial" w:hAnsi="Arial" w:cs="Arial"/>
          <w:b/>
          <w:bCs/>
          <w:color w:val="000000"/>
          <w:sz w:val="23"/>
          <w:szCs w:val="23"/>
        </w:rPr>
        <w:t>D.lgs. n. 148 del 7 agosto 2026</w:t>
      </w:r>
      <w:r>
        <w:rPr>
          <w:rFonts w:ascii="Arial" w:hAnsi="Arial" w:cs="Arial"/>
          <w:color w:val="000000"/>
          <w:sz w:val="23"/>
          <w:szCs w:val="23"/>
        </w:rPr>
        <w:t xml:space="preserve"> (cosiddetto decreto </w:t>
      </w:r>
      <w:r>
        <w:rPr>
          <w:rFonts w:ascii="Arial" w:hAnsi="Arial" w:cs="Arial"/>
          <w:b/>
          <w:bCs/>
          <w:color w:val="000000"/>
          <w:sz w:val="23"/>
          <w:szCs w:val="23"/>
        </w:rPr>
        <w:t>Omnibus fiscale</w:t>
      </w:r>
      <w:r>
        <w:rPr>
          <w:rFonts w:ascii="Arial" w:hAnsi="Arial" w:cs="Arial"/>
          <w:color w:val="000000"/>
          <w:sz w:val="23"/>
          <w:szCs w:val="23"/>
        </w:rPr>
        <w:t xml:space="preserve">) che intervengono, in particolare, sulle cause di cessazione e decadenza del concordato nonché sulle premialità riconosciute al contribuente in caso di rinnovo dell’adesione. Il decreto ha </w:t>
      </w:r>
      <w:r>
        <w:rPr>
          <w:rFonts w:ascii="Arial" w:hAnsi="Arial" w:cs="Arial"/>
          <w:b/>
          <w:bCs/>
          <w:color w:val="000000"/>
          <w:sz w:val="23"/>
          <w:szCs w:val="23"/>
        </w:rPr>
        <w:t>recepito</w:t>
      </w:r>
      <w:r>
        <w:rPr>
          <w:rFonts w:ascii="Arial" w:hAnsi="Arial" w:cs="Arial"/>
          <w:color w:val="000000"/>
          <w:sz w:val="23"/>
          <w:szCs w:val="23"/>
        </w:rPr>
        <w:t xml:space="preserve"> diverse </w:t>
      </w:r>
      <w:r>
        <w:rPr>
          <w:rFonts w:ascii="Arial" w:hAnsi="Arial" w:cs="Arial"/>
          <w:b/>
          <w:bCs/>
          <w:color w:val="000000"/>
          <w:sz w:val="23"/>
          <w:szCs w:val="23"/>
        </w:rPr>
        <w:t>proposte migliorative</w:t>
      </w:r>
      <w:r>
        <w:rPr>
          <w:rFonts w:ascii="Arial" w:hAnsi="Arial" w:cs="Arial"/>
          <w:color w:val="000000"/>
          <w:sz w:val="23"/>
          <w:szCs w:val="23"/>
        </w:rPr>
        <w:t xml:space="preserve"> formulate dal Consiglio nazionale in sede di 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interlocuzione preventiva </w:t>
      </w:r>
      <w:r>
        <w:rPr>
          <w:rFonts w:ascii="Arial" w:hAnsi="Arial" w:cs="Arial"/>
          <w:color w:val="000000"/>
          <w:sz w:val="23"/>
          <w:szCs w:val="23"/>
        </w:rPr>
        <w:t xml:space="preserve">con l’esecutivo finalizzate, tra le altre, a limitare l’operatività delle cause di </w:t>
      </w:r>
      <w:r>
        <w:rPr>
          <w:rFonts w:ascii="Arial" w:hAnsi="Arial" w:cs="Arial"/>
          <w:b/>
          <w:bCs/>
          <w:color w:val="000000"/>
          <w:sz w:val="23"/>
          <w:szCs w:val="23"/>
        </w:rPr>
        <w:t>decadenza e cessazione dal concordato</w:t>
      </w:r>
      <w:r>
        <w:rPr>
          <w:rFonts w:ascii="Arial" w:hAnsi="Arial" w:cs="Arial"/>
          <w:color w:val="000000"/>
          <w:sz w:val="23"/>
          <w:szCs w:val="23"/>
        </w:rPr>
        <w:t>.</w:t>
      </w:r>
    </w:p>
    <w:p w14:paraId="4E942324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</w:p>
    <w:p w14:paraId="5806E49E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La Guida riepiloga anche la disciplina sullo speciale </w:t>
      </w:r>
      <w:r>
        <w:rPr>
          <w:rFonts w:ascii="Arial" w:hAnsi="Arial" w:cs="Arial"/>
          <w:b/>
          <w:bCs/>
          <w:color w:val="000000"/>
          <w:sz w:val="23"/>
          <w:szCs w:val="23"/>
        </w:rPr>
        <w:t>regime di ravvedimento</w:t>
      </w:r>
      <w:r>
        <w:rPr>
          <w:rFonts w:ascii="Arial" w:hAnsi="Arial" w:cs="Arial"/>
          <w:color w:val="000000"/>
          <w:sz w:val="23"/>
          <w:szCs w:val="23"/>
        </w:rPr>
        <w:t xml:space="preserve"> per gli anni pregressi a cui possono aderire i contribuenti che rinnovano l’adesione.</w:t>
      </w:r>
    </w:p>
    <w:p w14:paraId="56726447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</w:p>
    <w:p w14:paraId="1B7D6B0D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Con questo documento, il Consiglio Nazionale dei Commercialisti e l’Agenzia delle Entrate rafforzano il percorso di </w:t>
      </w:r>
      <w:r>
        <w:rPr>
          <w:rFonts w:ascii="Arial" w:hAnsi="Arial" w:cs="Arial"/>
          <w:b/>
          <w:bCs/>
          <w:color w:val="000000"/>
          <w:sz w:val="23"/>
          <w:szCs w:val="23"/>
        </w:rPr>
        <w:t>collaborazione istituzionale</w:t>
      </w:r>
      <w:r>
        <w:rPr>
          <w:rFonts w:ascii="Arial" w:hAnsi="Arial" w:cs="Arial"/>
          <w:color w:val="000000"/>
          <w:sz w:val="23"/>
          <w:szCs w:val="23"/>
        </w:rPr>
        <w:t xml:space="preserve"> attraverso un confronto costante, concreto e orientato alla semplificazione e alla corretta applicazione delle norme.</w:t>
      </w:r>
    </w:p>
    <w:p w14:paraId="62721C65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</w:p>
    <w:p w14:paraId="3580898C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“La pubblicazione – afferma presidente del Consiglio nazionale </w:t>
      </w:r>
      <w:r>
        <w:rPr>
          <w:rFonts w:ascii="Arial" w:hAnsi="Arial" w:cs="Arial"/>
          <w:b/>
          <w:bCs/>
          <w:color w:val="000000"/>
          <w:sz w:val="23"/>
          <w:szCs w:val="23"/>
        </w:rPr>
        <w:t>Elbano de Nuccio</w:t>
      </w:r>
      <w:r>
        <w:rPr>
          <w:rFonts w:ascii="Arial" w:hAnsi="Arial" w:cs="Arial"/>
          <w:color w:val="000000"/>
          <w:sz w:val="23"/>
          <w:szCs w:val="23"/>
        </w:rPr>
        <w:t xml:space="preserve"> - rappresenta un esempio significativo di questo metodo di lavoro: mettere a disposizione di professionisti e contribuenti strumenti chiari e operativi per accompagnare l’attuazione di istituti complessi e favorire l’adempimento spontaneo degli obblighi tributari”.</w:t>
      </w:r>
    </w:p>
    <w:p w14:paraId="0EBA843F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</w:p>
    <w:p w14:paraId="1F297FB3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“Il rapporto tra Consiglio nazionale e Agenzia delle Entrate - prosegue - si fonda sul reciproco riconoscimento dei ruoli e delle rispettive </w:t>
      </w:r>
      <w:r>
        <w:rPr>
          <w:rFonts w:ascii="Arial" w:hAnsi="Arial" w:cs="Arial"/>
          <w:b/>
          <w:bCs/>
          <w:color w:val="000000"/>
          <w:sz w:val="23"/>
          <w:szCs w:val="23"/>
        </w:rPr>
        <w:t>funzioni istituzionali</w:t>
      </w:r>
      <w:r>
        <w:rPr>
          <w:rFonts w:ascii="Arial" w:hAnsi="Arial" w:cs="Arial"/>
          <w:color w:val="000000"/>
          <w:sz w:val="23"/>
          <w:szCs w:val="23"/>
        </w:rPr>
        <w:t xml:space="preserve">. Da una parte, l’Amministrazione finanziaria, chiamata a garantire il corretto funzionamento del sistema tributario e la tutela dell’interesse pubblico; dall’altra, i commercialisti, che ogni giorno rappresentano un </w:t>
      </w:r>
      <w:r>
        <w:rPr>
          <w:rFonts w:ascii="Arial" w:hAnsi="Arial" w:cs="Arial"/>
          <w:b/>
          <w:bCs/>
          <w:color w:val="000000"/>
          <w:sz w:val="23"/>
          <w:szCs w:val="23"/>
        </w:rPr>
        <w:t>presidio fondamentale di competenza, legalità e assistenza</w:t>
      </w:r>
      <w:r>
        <w:rPr>
          <w:rFonts w:ascii="Arial" w:hAnsi="Arial" w:cs="Arial"/>
          <w:color w:val="000000"/>
          <w:sz w:val="23"/>
          <w:szCs w:val="23"/>
        </w:rPr>
        <w:t xml:space="preserve"> nei rapporti tra cittadini, imprese e Pubblica Amministrazione. È proprio dalla piena valorizzazione di queste diverse responsabilità che può svilupparsi un </w:t>
      </w:r>
      <w:r>
        <w:rPr>
          <w:rFonts w:ascii="Arial" w:hAnsi="Arial" w:cs="Arial"/>
          <w:b/>
          <w:bCs/>
          <w:color w:val="000000"/>
          <w:sz w:val="23"/>
          <w:szCs w:val="23"/>
        </w:rPr>
        <w:t>sistema fiscale più efficiente</w:t>
      </w:r>
      <w:r>
        <w:rPr>
          <w:rFonts w:ascii="Arial" w:hAnsi="Arial" w:cs="Arial"/>
          <w:color w:val="000000"/>
          <w:sz w:val="23"/>
          <w:szCs w:val="23"/>
        </w:rPr>
        <w:t>. Il confronto preventivo, la condivisione delle criticità applicative e la predisposizione di strumenti informativi comuni contribuiscono infatti a ridurre le incertezze interpretative, prevenire gli errori e rendere più semplice il rapporto tra Fisco e contribuente. Il Concordato Preventivo Biennale si inserisce pienamente in questa prospettiva di compliance e cooperazione, essendo espressamente finalizzato a favorire l’adempimento spontaneo degli obblighi dichiarativi”.</w:t>
      </w:r>
    </w:p>
    <w:p w14:paraId="4C0992A0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</w:p>
    <w:p w14:paraId="1614C694" w14:textId="77777777" w:rsidR="000F4462" w:rsidRDefault="000F4462" w:rsidP="000F4462">
      <w:pPr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 xml:space="preserve">“La collaborazione tra Consiglio nazionale e Agenzia delle Entrate - aggiunge il Vicepresidente dei commercialisti con delega alla fiscalità, </w:t>
      </w:r>
      <w:r>
        <w:rPr>
          <w:rFonts w:ascii="Arial" w:hAnsi="Arial" w:cs="Arial"/>
          <w:b/>
          <w:bCs/>
          <w:color w:val="000000"/>
          <w:sz w:val="23"/>
          <w:szCs w:val="23"/>
        </w:rPr>
        <w:t>Vincenzo Moretta</w:t>
      </w:r>
      <w:r>
        <w:rPr>
          <w:rFonts w:ascii="Arial" w:hAnsi="Arial" w:cs="Arial"/>
          <w:color w:val="000000"/>
          <w:sz w:val="23"/>
          <w:szCs w:val="23"/>
        </w:rPr>
        <w:t xml:space="preserve"> - vuole rappresentare un modello di </w:t>
      </w:r>
      <w:r>
        <w:rPr>
          <w:rFonts w:ascii="Arial" w:hAnsi="Arial" w:cs="Arial"/>
          <w:b/>
          <w:bCs/>
          <w:color w:val="000000"/>
          <w:sz w:val="23"/>
          <w:szCs w:val="23"/>
        </w:rPr>
        <w:t>leale cooperazione istituzionale</w:t>
      </w:r>
      <w:r>
        <w:rPr>
          <w:rFonts w:ascii="Arial" w:hAnsi="Arial" w:cs="Arial"/>
          <w:color w:val="000000"/>
          <w:sz w:val="23"/>
          <w:szCs w:val="23"/>
        </w:rPr>
        <w:t>, nel quale l’autorevolezza delle rispettive funzioni si accompagna alla capacità di ascolto e alla ricerca di soluzioni operative. Un percorso che guarda oltre il singolo provvedimento e che punta a consolidare una cultura della compliance, della certezza delle regole e della semplificazione, nella convinzione che un sistema fiscale più comprensibile, efficiente e collaborativo costituisca un fattore essenziale di competitività, fiducia e sviluppo per il Paese”.</w:t>
      </w:r>
    </w:p>
    <w:p w14:paraId="05D2F02E" w14:textId="77777777" w:rsidR="00DB0FE6" w:rsidRPr="00741EB1" w:rsidRDefault="00DB0FE6" w:rsidP="000F4462">
      <w:pPr>
        <w:jc w:val="center"/>
        <w:rPr>
          <w:rFonts w:ascii="Arial" w:hAnsi="Arial" w:cs="Arial"/>
          <w:color w:val="000000"/>
        </w:rPr>
      </w:pPr>
    </w:p>
    <w:sectPr w:rsidR="00DB0FE6" w:rsidRPr="00741EB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348A" w14:textId="77777777" w:rsidR="004A6387" w:rsidRDefault="004A6387" w:rsidP="0053767A">
      <w:r>
        <w:separator/>
      </w:r>
    </w:p>
  </w:endnote>
  <w:endnote w:type="continuationSeparator" w:id="0">
    <w:p w14:paraId="03A5F2A6" w14:textId="77777777" w:rsidR="004A6387" w:rsidRDefault="004A6387" w:rsidP="0053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CCF6" w14:textId="77777777" w:rsidR="004A6387" w:rsidRDefault="004A6387" w:rsidP="0053767A">
      <w:r>
        <w:separator/>
      </w:r>
    </w:p>
  </w:footnote>
  <w:footnote w:type="continuationSeparator" w:id="0">
    <w:p w14:paraId="4B2881AB" w14:textId="77777777" w:rsidR="004A6387" w:rsidRDefault="004A6387" w:rsidP="00537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CF04" w14:textId="137E3C70" w:rsidR="0053767A" w:rsidRDefault="0053767A" w:rsidP="0053767A">
    <w:pPr>
      <w:pStyle w:val="Intestazione"/>
      <w:jc w:val="center"/>
    </w:pPr>
    <w:r>
      <w:rPr>
        <w:noProof/>
      </w:rPr>
      <w:drawing>
        <wp:inline distT="0" distB="0" distL="0" distR="0" wp14:anchorId="6CE15400" wp14:editId="1B607080">
          <wp:extent cx="2493645" cy="847090"/>
          <wp:effectExtent l="0" t="0" r="0" b="0"/>
          <wp:docPr id="1" name="Immagine 1" descr="CNDC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CNDCEC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64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D7"/>
    <w:rsid w:val="0000607D"/>
    <w:rsid w:val="000F4462"/>
    <w:rsid w:val="00124B6E"/>
    <w:rsid w:val="00132A25"/>
    <w:rsid w:val="00152D89"/>
    <w:rsid w:val="001A0459"/>
    <w:rsid w:val="00204DB5"/>
    <w:rsid w:val="002502F4"/>
    <w:rsid w:val="00254D79"/>
    <w:rsid w:val="00265B97"/>
    <w:rsid w:val="0027447A"/>
    <w:rsid w:val="00287CAA"/>
    <w:rsid w:val="002C046C"/>
    <w:rsid w:val="002E3353"/>
    <w:rsid w:val="002E3933"/>
    <w:rsid w:val="00336A78"/>
    <w:rsid w:val="003407A8"/>
    <w:rsid w:val="003B6CF5"/>
    <w:rsid w:val="003D5A57"/>
    <w:rsid w:val="003E6C43"/>
    <w:rsid w:val="00402D0F"/>
    <w:rsid w:val="0040487B"/>
    <w:rsid w:val="0042652A"/>
    <w:rsid w:val="0043677A"/>
    <w:rsid w:val="00450573"/>
    <w:rsid w:val="00450DF1"/>
    <w:rsid w:val="00464615"/>
    <w:rsid w:val="004A6387"/>
    <w:rsid w:val="004B3E6D"/>
    <w:rsid w:val="004B52B8"/>
    <w:rsid w:val="004C73FD"/>
    <w:rsid w:val="005323A8"/>
    <w:rsid w:val="0053767A"/>
    <w:rsid w:val="00587889"/>
    <w:rsid w:val="005A6576"/>
    <w:rsid w:val="0065054B"/>
    <w:rsid w:val="006664F3"/>
    <w:rsid w:val="00683387"/>
    <w:rsid w:val="00686343"/>
    <w:rsid w:val="006928E0"/>
    <w:rsid w:val="006B1EB0"/>
    <w:rsid w:val="006B222B"/>
    <w:rsid w:val="006B3E6A"/>
    <w:rsid w:val="006F39E8"/>
    <w:rsid w:val="00731085"/>
    <w:rsid w:val="00741EB1"/>
    <w:rsid w:val="007C336D"/>
    <w:rsid w:val="007E017B"/>
    <w:rsid w:val="0081776A"/>
    <w:rsid w:val="0084198B"/>
    <w:rsid w:val="008643F7"/>
    <w:rsid w:val="0087548C"/>
    <w:rsid w:val="00875577"/>
    <w:rsid w:val="008B0AD7"/>
    <w:rsid w:val="008C22FF"/>
    <w:rsid w:val="008D4C55"/>
    <w:rsid w:val="008E4C2D"/>
    <w:rsid w:val="00921C2C"/>
    <w:rsid w:val="009577EA"/>
    <w:rsid w:val="009657C6"/>
    <w:rsid w:val="009D7B0D"/>
    <w:rsid w:val="009F5AF0"/>
    <w:rsid w:val="00A46128"/>
    <w:rsid w:val="00A501AA"/>
    <w:rsid w:val="00A9065C"/>
    <w:rsid w:val="00B6559A"/>
    <w:rsid w:val="00C065BA"/>
    <w:rsid w:val="00C610A8"/>
    <w:rsid w:val="00D11F59"/>
    <w:rsid w:val="00D57FDA"/>
    <w:rsid w:val="00D729BE"/>
    <w:rsid w:val="00D92D7B"/>
    <w:rsid w:val="00DB0FE6"/>
    <w:rsid w:val="00DC46DB"/>
    <w:rsid w:val="00E339D8"/>
    <w:rsid w:val="00E5193A"/>
    <w:rsid w:val="00E730CE"/>
    <w:rsid w:val="00E9381D"/>
    <w:rsid w:val="00F30F77"/>
    <w:rsid w:val="00F922AA"/>
    <w:rsid w:val="00FA6626"/>
    <w:rsid w:val="00FB30D0"/>
    <w:rsid w:val="00FB414A"/>
    <w:rsid w:val="00FE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E167"/>
  <w15:chartTrackingRefBased/>
  <w15:docId w15:val="{E736ABF5-AE2F-45F8-A7AE-AFAF391E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0AD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8B0A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B0AD7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376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767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376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767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FE3235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3235"/>
    <w:rPr>
      <w:color w:val="605E5C"/>
      <w:shd w:val="clear" w:color="auto" w:fill="E1DFDD"/>
    </w:rPr>
  </w:style>
  <w:style w:type="paragraph" w:customStyle="1" w:styleId="elementtoproof">
    <w:name w:val="elementtoproof"/>
    <w:basedOn w:val="Normale"/>
    <w:uiPriority w:val="99"/>
    <w:semiHidden/>
    <w:rsid w:val="007E017B"/>
    <w:rPr>
      <w:rFonts w:ascii="Aptos" w:eastAsiaTheme="minorHAns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1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533</Words>
  <Characters>3402</Characters>
  <Application>Microsoft Office Word</Application>
  <DocSecurity>0</DocSecurity>
  <Lines>57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62</cp:revision>
  <dcterms:created xsi:type="dcterms:W3CDTF">2024-03-12T08:10:00Z</dcterms:created>
  <dcterms:modified xsi:type="dcterms:W3CDTF">2026-09-16T16:06:00Z</dcterms:modified>
</cp:coreProperties>
</file>