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657E1" w14:textId="77777777" w:rsidR="0053767A" w:rsidRPr="009577EA" w:rsidRDefault="0053767A" w:rsidP="00E9381D">
      <w:pPr>
        <w:jc w:val="center"/>
        <w:rPr>
          <w:rFonts w:ascii="Arial" w:eastAsia="Tahoma" w:hAnsi="Arial" w:cs="Arial"/>
          <w:b/>
          <w:bCs/>
          <w:sz w:val="23"/>
          <w:szCs w:val="23"/>
        </w:rPr>
      </w:pPr>
    </w:p>
    <w:p w14:paraId="11DCC52B" w14:textId="77777777" w:rsidR="00C065BA" w:rsidRPr="00741EB1" w:rsidRDefault="00C065BA" w:rsidP="00741EB1">
      <w:pPr>
        <w:pStyle w:val="NormaleWeb"/>
        <w:jc w:val="center"/>
        <w:rPr>
          <w:rFonts w:ascii="Arial" w:hAnsi="Arial" w:cs="Arial"/>
          <w:b/>
          <w:bCs/>
          <w:color w:val="000000"/>
          <w:u w:val="single"/>
        </w:rPr>
      </w:pPr>
    </w:p>
    <w:p w14:paraId="057313F3" w14:textId="18E1E76A" w:rsidR="00741EB1" w:rsidRPr="00741EB1" w:rsidRDefault="00741EB1" w:rsidP="00741EB1">
      <w:pPr>
        <w:jc w:val="center"/>
        <w:rPr>
          <w:rFonts w:ascii="Arial" w:hAnsi="Arial" w:cs="Arial"/>
          <w:color w:val="000000"/>
          <w:sz w:val="24"/>
          <w:szCs w:val="24"/>
          <w:u w:val="single"/>
        </w:rPr>
      </w:pPr>
      <w:r w:rsidRPr="00741EB1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C</w:t>
      </w:r>
      <w:r w:rsidRPr="00741EB1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omunicato stampa</w:t>
      </w:r>
    </w:p>
    <w:p w14:paraId="2AD1071D" w14:textId="77777777" w:rsidR="00741EB1" w:rsidRPr="00741EB1" w:rsidRDefault="00741EB1" w:rsidP="00741EB1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14:paraId="300ABDB6" w14:textId="77777777" w:rsidR="00741EB1" w:rsidRPr="00741EB1" w:rsidRDefault="00741EB1" w:rsidP="00741EB1">
      <w:pPr>
        <w:jc w:val="center"/>
        <w:rPr>
          <w:rFonts w:ascii="Arial" w:hAnsi="Arial" w:cs="Arial"/>
          <w:color w:val="000000"/>
          <w:sz w:val="24"/>
          <w:szCs w:val="24"/>
        </w:rPr>
      </w:pPr>
      <w:r w:rsidRPr="00741EB1">
        <w:rPr>
          <w:rFonts w:ascii="Arial" w:hAnsi="Arial" w:cs="Arial"/>
          <w:b/>
          <w:bCs/>
          <w:color w:val="000000"/>
          <w:sz w:val="24"/>
          <w:szCs w:val="24"/>
        </w:rPr>
        <w:t>CONCESSIONI DEMANIALI: ATTIVA LA PROCEDURA TELEMATICA PER GLI INCARICHI DEI PROFESSIONISTI PER LE PERIZIE ASSEVERATE</w:t>
      </w:r>
    </w:p>
    <w:p w14:paraId="271CCCF7" w14:textId="77777777" w:rsidR="00741EB1" w:rsidRPr="00741EB1" w:rsidRDefault="00741EB1" w:rsidP="00741EB1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14:paraId="16EFF9C2" w14:textId="77777777" w:rsidR="00741EB1" w:rsidRPr="00741EB1" w:rsidRDefault="00741EB1" w:rsidP="00741EB1">
      <w:pPr>
        <w:jc w:val="center"/>
        <w:rPr>
          <w:rFonts w:ascii="Arial" w:hAnsi="Arial" w:cs="Arial"/>
          <w:color w:val="000000"/>
          <w:sz w:val="24"/>
          <w:szCs w:val="24"/>
        </w:rPr>
      </w:pPr>
      <w:r w:rsidRPr="00741EB1">
        <w:rPr>
          <w:rFonts w:ascii="Arial" w:hAnsi="Arial" w:cs="Arial"/>
          <w:b/>
          <w:bCs/>
          <w:color w:val="000000"/>
          <w:sz w:val="24"/>
          <w:szCs w:val="24"/>
        </w:rPr>
        <w:t>Gli iscritti all'Albo possono presentare la propria disponibilità attraverso l'Area Riservata del portale commercialisti.it</w:t>
      </w:r>
    </w:p>
    <w:p w14:paraId="0F4D5764" w14:textId="77777777" w:rsidR="00741EB1" w:rsidRPr="00741EB1" w:rsidRDefault="00741EB1" w:rsidP="00741EB1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14:paraId="251E533C" w14:textId="37F4858A" w:rsidR="00741EB1" w:rsidRPr="00741EB1" w:rsidRDefault="00741EB1" w:rsidP="00741EB1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741EB1">
        <w:rPr>
          <w:rFonts w:ascii="Arial" w:hAnsi="Arial" w:cs="Arial"/>
          <w:i/>
          <w:iCs/>
          <w:color w:val="000000"/>
          <w:sz w:val="24"/>
          <w:szCs w:val="24"/>
        </w:rPr>
        <w:t>Roma, 4 settembre 2026 –</w:t>
      </w:r>
      <w:r w:rsidRPr="00741EB1">
        <w:rPr>
          <w:rFonts w:ascii="Arial" w:hAnsi="Arial" w:cs="Arial"/>
          <w:color w:val="000000"/>
          <w:sz w:val="24"/>
          <w:szCs w:val="24"/>
        </w:rPr>
        <w:t xml:space="preserve"> È attiva la </w:t>
      </w:r>
      <w:r w:rsidRPr="00741EB1">
        <w:rPr>
          <w:rFonts w:ascii="Arial" w:hAnsi="Arial" w:cs="Arial"/>
          <w:b/>
          <w:bCs/>
          <w:color w:val="000000"/>
          <w:sz w:val="24"/>
          <w:szCs w:val="24"/>
        </w:rPr>
        <w:t>procedura telematica</w:t>
      </w:r>
      <w:r w:rsidRPr="00741EB1">
        <w:rPr>
          <w:rFonts w:ascii="Arial" w:hAnsi="Arial" w:cs="Arial"/>
          <w:color w:val="000000"/>
          <w:sz w:val="24"/>
          <w:szCs w:val="24"/>
        </w:rPr>
        <w:t xml:space="preserve"> per l</w:t>
      </w:r>
      <w:r>
        <w:rPr>
          <w:rFonts w:ascii="Arial" w:hAnsi="Arial" w:cs="Arial"/>
          <w:color w:val="000000"/>
          <w:sz w:val="24"/>
          <w:szCs w:val="24"/>
        </w:rPr>
        <w:t>’</w:t>
      </w:r>
      <w:r w:rsidRPr="00741EB1">
        <w:rPr>
          <w:rFonts w:ascii="Arial" w:hAnsi="Arial" w:cs="Arial"/>
          <w:color w:val="000000"/>
          <w:sz w:val="24"/>
          <w:szCs w:val="24"/>
        </w:rPr>
        <w:t>acquisizione delle disponibilità dei dottori commercialisti e degli esperti contabili allo svolgimento delle perizie asseverate previste dall'art. 1, comma 9, del D.L. n. 131/2024, finalizzate alla determinazione dell</w:t>
      </w:r>
      <w:r>
        <w:rPr>
          <w:rFonts w:ascii="Arial" w:hAnsi="Arial" w:cs="Arial"/>
          <w:color w:val="000000"/>
          <w:sz w:val="24"/>
          <w:szCs w:val="24"/>
        </w:rPr>
        <w:t>’</w:t>
      </w:r>
      <w:r w:rsidRPr="00741EB1">
        <w:rPr>
          <w:rFonts w:ascii="Arial" w:hAnsi="Arial" w:cs="Arial"/>
          <w:color w:val="000000"/>
          <w:sz w:val="24"/>
          <w:szCs w:val="24"/>
        </w:rPr>
        <w:t xml:space="preserve">indennizzo dovuto dal nuovo concessionario subentrante al concessionario uscente nelle </w:t>
      </w:r>
      <w:r w:rsidRPr="00741EB1">
        <w:rPr>
          <w:rFonts w:ascii="Arial" w:hAnsi="Arial" w:cs="Arial"/>
          <w:b/>
          <w:bCs/>
          <w:color w:val="000000"/>
          <w:sz w:val="24"/>
          <w:szCs w:val="24"/>
        </w:rPr>
        <w:t>concessioni demaniali marittime, lacuali e fluviali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176BF3F6" w14:textId="77777777" w:rsidR="00741EB1" w:rsidRPr="00741EB1" w:rsidRDefault="00741EB1" w:rsidP="00741EB1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237AE751" w14:textId="6D92F633" w:rsidR="00741EB1" w:rsidRPr="00741EB1" w:rsidRDefault="00741EB1" w:rsidP="00741EB1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741EB1">
        <w:rPr>
          <w:rFonts w:ascii="Arial" w:hAnsi="Arial" w:cs="Arial"/>
          <w:color w:val="000000"/>
          <w:sz w:val="24"/>
          <w:szCs w:val="24"/>
        </w:rPr>
        <w:t>Lo comunica il Consiglio Nazionale dei Dottori Commercialisti e degli Esperti Contabili con l</w:t>
      </w:r>
      <w:r>
        <w:rPr>
          <w:rFonts w:ascii="Arial" w:hAnsi="Arial" w:cs="Arial"/>
          <w:color w:val="000000"/>
          <w:sz w:val="24"/>
          <w:szCs w:val="24"/>
        </w:rPr>
        <w:t>’</w:t>
      </w:r>
      <w:hyperlink r:id="rId6" w:tooltip="https://commercialisti.it/informative/109-attivazione-della-procedura-telematica-per-la-presentazione-delle-candidature-dei-professionisti-disponibili-allo-svolgimento-delle-perizie-asseverate-previste-dallart-1-comma-9-del/" w:history="1">
        <w:r w:rsidRPr="00741EB1">
          <w:rPr>
            <w:rStyle w:val="Collegamentoipertestuale"/>
            <w:rFonts w:ascii="Arial" w:hAnsi="Arial" w:cs="Arial"/>
            <w:sz w:val="24"/>
            <w:szCs w:val="24"/>
          </w:rPr>
          <w:t>Informativa n. 109/2026</w:t>
        </w:r>
      </w:hyperlink>
      <w:hyperlink r:id="rId7" w:tooltip="https://commercialisti.it/informative/109-attivazione-della-procedura-telematica-per-la-presentazione-delle-candidature-dei-professionisti-disponibili-allo-svolgimento-delle-perizie-asseverate-previste-dallart-1-comma-9-del/" w:history="1">
        <w:r w:rsidRPr="00741EB1">
          <w:rPr>
            <w:rStyle w:val="Collegamentoipertestuale"/>
            <w:rFonts w:ascii="Arial" w:hAnsi="Arial" w:cs="Arial"/>
            <w:sz w:val="24"/>
            <w:szCs w:val="24"/>
            <w:u w:val="none"/>
          </w:rPr>
          <w:t xml:space="preserve"> </w:t>
        </w:r>
      </w:hyperlink>
      <w:r w:rsidRPr="00741EB1">
        <w:rPr>
          <w:rFonts w:ascii="Arial" w:hAnsi="Arial" w:cs="Arial"/>
          <w:color w:val="000000"/>
          <w:sz w:val="24"/>
          <w:szCs w:val="24"/>
        </w:rPr>
        <w:t xml:space="preserve">indirizzata agli Ordini territoriali, dando seguito alle indicazioni già fornite con la precedente </w:t>
      </w:r>
      <w:hyperlink r:id="rId8" w:tooltip="https://commercialisti.it/informative/107-indicazioni-operative-allo-svolgimento-delle-perizie-asseverate-previste-dallart-1-comma-9-del-d-l-n-131-2024-raccolta-delle-candidature-dei-professionisti-disponibili/" w:history="1">
        <w:r w:rsidRPr="00741EB1">
          <w:rPr>
            <w:rStyle w:val="Collegamentoipertestuale"/>
            <w:rFonts w:ascii="Arial" w:hAnsi="Arial" w:cs="Arial"/>
            <w:sz w:val="24"/>
            <w:szCs w:val="24"/>
          </w:rPr>
          <w:t>Informativa n. 107/2026</w:t>
        </w:r>
      </w:hyperlink>
      <w:r w:rsidRPr="00741EB1">
        <w:rPr>
          <w:rFonts w:ascii="Arial" w:hAnsi="Arial" w:cs="Arial"/>
          <w:color w:val="000000"/>
          <w:sz w:val="24"/>
          <w:szCs w:val="24"/>
        </w:rPr>
        <w:t>.</w:t>
      </w:r>
    </w:p>
    <w:p w14:paraId="3D08E06F" w14:textId="77777777" w:rsidR="00741EB1" w:rsidRPr="00741EB1" w:rsidRDefault="00741EB1" w:rsidP="00741EB1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1896E7E4" w14:textId="77007DB6" w:rsidR="00741EB1" w:rsidRPr="00741EB1" w:rsidRDefault="00741EB1" w:rsidP="00741EB1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741EB1">
        <w:rPr>
          <w:rFonts w:ascii="Arial" w:hAnsi="Arial" w:cs="Arial"/>
          <w:color w:val="000000"/>
          <w:sz w:val="24"/>
          <w:szCs w:val="24"/>
        </w:rPr>
        <w:t>La procedura è disponibile nell'</w:t>
      </w:r>
      <w:r w:rsidRPr="00741EB1">
        <w:rPr>
          <w:rFonts w:ascii="Arial" w:hAnsi="Arial" w:cs="Arial"/>
          <w:b/>
          <w:bCs/>
          <w:color w:val="000000"/>
          <w:sz w:val="24"/>
          <w:szCs w:val="24"/>
        </w:rPr>
        <w:t>Area Riservata</w:t>
      </w:r>
      <w:r w:rsidRPr="00741EB1">
        <w:rPr>
          <w:rFonts w:ascii="Arial" w:hAnsi="Arial" w:cs="Arial"/>
          <w:color w:val="000000"/>
          <w:sz w:val="24"/>
          <w:szCs w:val="24"/>
        </w:rPr>
        <w:t xml:space="preserve"> del portale istituzionale </w:t>
      </w:r>
      <w:r w:rsidRPr="00741EB1">
        <w:rPr>
          <w:rFonts w:ascii="Arial" w:hAnsi="Arial" w:cs="Arial"/>
          <w:b/>
          <w:bCs/>
          <w:color w:val="000000"/>
          <w:sz w:val="24"/>
          <w:szCs w:val="24"/>
        </w:rPr>
        <w:t>commercialisti.it</w:t>
      </w:r>
      <w:r w:rsidRPr="00741EB1">
        <w:rPr>
          <w:rFonts w:ascii="Arial" w:hAnsi="Arial" w:cs="Arial"/>
          <w:color w:val="000000"/>
          <w:sz w:val="24"/>
          <w:szCs w:val="24"/>
        </w:rPr>
        <w:t xml:space="preserve">. Gli iscritti interessati potranno accedere mediante autenticazione </w:t>
      </w:r>
      <w:r w:rsidRPr="00741EB1">
        <w:rPr>
          <w:rFonts w:ascii="Arial" w:hAnsi="Arial" w:cs="Arial"/>
          <w:b/>
          <w:bCs/>
          <w:color w:val="000000"/>
          <w:sz w:val="24"/>
          <w:szCs w:val="24"/>
        </w:rPr>
        <w:t>con SPID o Carta d</w:t>
      </w:r>
      <w:r>
        <w:rPr>
          <w:rFonts w:ascii="Arial" w:hAnsi="Arial" w:cs="Arial"/>
          <w:b/>
          <w:bCs/>
          <w:color w:val="000000"/>
          <w:sz w:val="24"/>
          <w:szCs w:val="24"/>
        </w:rPr>
        <w:t>’</w:t>
      </w:r>
      <w:r w:rsidRPr="00741EB1">
        <w:rPr>
          <w:rFonts w:ascii="Arial" w:hAnsi="Arial" w:cs="Arial"/>
          <w:b/>
          <w:bCs/>
          <w:color w:val="000000"/>
          <w:sz w:val="24"/>
          <w:szCs w:val="24"/>
        </w:rPr>
        <w:t>Identità Elettronica (CIE)</w:t>
      </w:r>
      <w:r w:rsidRPr="00741EB1">
        <w:rPr>
          <w:rFonts w:ascii="Arial" w:hAnsi="Arial" w:cs="Arial"/>
          <w:color w:val="000000"/>
          <w:sz w:val="24"/>
          <w:szCs w:val="24"/>
        </w:rPr>
        <w:t>, seguendo il percorso "Servizi per gli Iscritti" → "Istanze Online" e manifestando la propria disponibilità attraverso l</w:t>
      </w:r>
      <w:r>
        <w:rPr>
          <w:rFonts w:ascii="Arial" w:hAnsi="Arial" w:cs="Arial"/>
          <w:color w:val="000000"/>
          <w:sz w:val="24"/>
          <w:szCs w:val="24"/>
        </w:rPr>
        <w:t>’</w:t>
      </w:r>
      <w:r w:rsidRPr="00741EB1">
        <w:rPr>
          <w:rFonts w:ascii="Arial" w:hAnsi="Arial" w:cs="Arial"/>
          <w:color w:val="000000"/>
          <w:sz w:val="24"/>
          <w:szCs w:val="24"/>
        </w:rPr>
        <w:t>apposita sezione dedicata.</w:t>
      </w:r>
    </w:p>
    <w:p w14:paraId="704AE4A6" w14:textId="77777777" w:rsidR="00741EB1" w:rsidRPr="00741EB1" w:rsidRDefault="00741EB1" w:rsidP="00741EB1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0432B7CF" w14:textId="6DD1D4D8" w:rsidR="00741EB1" w:rsidRPr="00741EB1" w:rsidRDefault="00741EB1" w:rsidP="00741EB1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741EB1">
        <w:rPr>
          <w:rFonts w:ascii="Arial" w:hAnsi="Arial" w:cs="Arial"/>
          <w:color w:val="000000"/>
          <w:sz w:val="24"/>
          <w:szCs w:val="24"/>
        </w:rPr>
        <w:t xml:space="preserve">Il Consiglio Nazionale ricorda che la manifestazione di disponibilità e il conseguente inserimento nell'elenco dei professionisti </w:t>
      </w:r>
      <w:r w:rsidRPr="00741EB1">
        <w:rPr>
          <w:rFonts w:ascii="Arial" w:hAnsi="Arial" w:cs="Arial"/>
          <w:b/>
          <w:bCs/>
          <w:color w:val="000000"/>
          <w:sz w:val="24"/>
          <w:szCs w:val="24"/>
        </w:rPr>
        <w:t>non determinano</w:t>
      </w:r>
      <w:r w:rsidRPr="00741EB1">
        <w:rPr>
          <w:rFonts w:ascii="Arial" w:hAnsi="Arial" w:cs="Arial"/>
          <w:color w:val="000000"/>
          <w:sz w:val="24"/>
          <w:szCs w:val="24"/>
        </w:rPr>
        <w:t xml:space="preserve"> in alcun modo la formazione di </w:t>
      </w:r>
      <w:r w:rsidRPr="00741EB1">
        <w:rPr>
          <w:rFonts w:ascii="Arial" w:hAnsi="Arial" w:cs="Arial"/>
          <w:b/>
          <w:bCs/>
          <w:color w:val="000000"/>
          <w:sz w:val="24"/>
          <w:szCs w:val="24"/>
        </w:rPr>
        <w:t>graduatorie</w:t>
      </w:r>
      <w:r w:rsidRPr="00741EB1">
        <w:rPr>
          <w:rFonts w:ascii="Arial" w:hAnsi="Arial" w:cs="Arial"/>
          <w:color w:val="000000"/>
          <w:sz w:val="24"/>
          <w:szCs w:val="24"/>
        </w:rPr>
        <w:t xml:space="preserve"> né attribuiscono </w:t>
      </w:r>
      <w:r w:rsidRPr="00741EB1">
        <w:rPr>
          <w:rFonts w:ascii="Arial" w:hAnsi="Arial" w:cs="Arial"/>
          <w:b/>
          <w:bCs/>
          <w:color w:val="000000"/>
          <w:sz w:val="24"/>
          <w:szCs w:val="24"/>
        </w:rPr>
        <w:t>diritti, aspettative o titoli preferenziali</w:t>
      </w:r>
      <w:r w:rsidRPr="00741EB1">
        <w:rPr>
          <w:rFonts w:ascii="Arial" w:hAnsi="Arial" w:cs="Arial"/>
          <w:color w:val="000000"/>
          <w:sz w:val="24"/>
          <w:szCs w:val="24"/>
        </w:rPr>
        <w:t xml:space="preserve"> per il conferimento degli incarichi. L</w:t>
      </w:r>
      <w:r>
        <w:rPr>
          <w:rFonts w:ascii="Arial" w:hAnsi="Arial" w:cs="Arial"/>
          <w:color w:val="000000"/>
          <w:sz w:val="24"/>
          <w:szCs w:val="24"/>
        </w:rPr>
        <w:t>’</w:t>
      </w:r>
      <w:r w:rsidRPr="00741EB1">
        <w:rPr>
          <w:rFonts w:ascii="Arial" w:hAnsi="Arial" w:cs="Arial"/>
          <w:color w:val="000000"/>
          <w:sz w:val="24"/>
          <w:szCs w:val="24"/>
        </w:rPr>
        <w:t>iniziativa risponde all</w:t>
      </w:r>
      <w:r>
        <w:rPr>
          <w:rFonts w:ascii="Arial" w:hAnsi="Arial" w:cs="Arial"/>
          <w:color w:val="000000"/>
          <w:sz w:val="24"/>
          <w:szCs w:val="24"/>
        </w:rPr>
        <w:t>’</w:t>
      </w:r>
      <w:r w:rsidRPr="00741EB1">
        <w:rPr>
          <w:rFonts w:ascii="Arial" w:hAnsi="Arial" w:cs="Arial"/>
          <w:color w:val="000000"/>
          <w:sz w:val="24"/>
          <w:szCs w:val="24"/>
        </w:rPr>
        <w:t xml:space="preserve">esigenza di individuare i nominativi da inserire nelle </w:t>
      </w:r>
      <w:r w:rsidRPr="00741EB1">
        <w:rPr>
          <w:rFonts w:ascii="Arial" w:hAnsi="Arial" w:cs="Arial"/>
          <w:b/>
          <w:bCs/>
          <w:color w:val="000000"/>
          <w:sz w:val="24"/>
          <w:szCs w:val="24"/>
        </w:rPr>
        <w:t>cinquine</w:t>
      </w:r>
      <w:r w:rsidRPr="00741EB1">
        <w:rPr>
          <w:rFonts w:ascii="Arial" w:hAnsi="Arial" w:cs="Arial"/>
          <w:color w:val="000000"/>
          <w:sz w:val="24"/>
          <w:szCs w:val="24"/>
        </w:rPr>
        <w:t xml:space="preserve"> da trasmettere ai Comuni o agli altri enti concedenti che ne facciano richiesta.</w:t>
      </w:r>
    </w:p>
    <w:p w14:paraId="28C22B49" w14:textId="77777777" w:rsidR="00741EB1" w:rsidRPr="00741EB1" w:rsidRDefault="00741EB1" w:rsidP="00741EB1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3C035401" w14:textId="0C463072" w:rsidR="00741EB1" w:rsidRPr="00741EB1" w:rsidRDefault="00741EB1" w:rsidP="00741EB1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741EB1">
        <w:rPr>
          <w:rFonts w:ascii="Arial" w:hAnsi="Arial" w:cs="Arial"/>
          <w:color w:val="000000"/>
          <w:sz w:val="24"/>
          <w:szCs w:val="24"/>
        </w:rPr>
        <w:t>Per garantire l</w:t>
      </w:r>
      <w:r>
        <w:rPr>
          <w:rFonts w:ascii="Arial" w:hAnsi="Arial" w:cs="Arial"/>
          <w:color w:val="000000"/>
          <w:sz w:val="24"/>
          <w:szCs w:val="24"/>
        </w:rPr>
        <w:t>’</w:t>
      </w:r>
      <w:r w:rsidRPr="00741EB1">
        <w:rPr>
          <w:rFonts w:ascii="Arial" w:hAnsi="Arial" w:cs="Arial"/>
          <w:color w:val="000000"/>
          <w:sz w:val="24"/>
          <w:szCs w:val="24"/>
        </w:rPr>
        <w:t xml:space="preserve">effettiva disponibilità dei professionisti interessati, la procedura consente inoltre di </w:t>
      </w:r>
      <w:r w:rsidRPr="00741EB1">
        <w:rPr>
          <w:rFonts w:ascii="Arial" w:hAnsi="Arial" w:cs="Arial"/>
          <w:b/>
          <w:bCs/>
          <w:color w:val="000000"/>
          <w:sz w:val="24"/>
          <w:szCs w:val="24"/>
        </w:rPr>
        <w:t>revocare</w:t>
      </w:r>
      <w:r w:rsidRPr="00741EB1">
        <w:rPr>
          <w:rFonts w:ascii="Arial" w:hAnsi="Arial" w:cs="Arial"/>
          <w:color w:val="000000"/>
          <w:sz w:val="24"/>
          <w:szCs w:val="24"/>
        </w:rPr>
        <w:t xml:space="preserve"> in qualsiasi momento l</w:t>
      </w:r>
      <w:r>
        <w:rPr>
          <w:rFonts w:ascii="Arial" w:hAnsi="Arial" w:cs="Arial"/>
          <w:color w:val="000000"/>
          <w:sz w:val="24"/>
          <w:szCs w:val="24"/>
        </w:rPr>
        <w:t>’</w:t>
      </w:r>
      <w:r w:rsidRPr="00741EB1">
        <w:rPr>
          <w:rFonts w:ascii="Arial" w:hAnsi="Arial" w:cs="Arial"/>
          <w:color w:val="000000"/>
          <w:sz w:val="24"/>
          <w:szCs w:val="24"/>
        </w:rPr>
        <w:t>adesione precedentemente espressa. In caso di revoca, il nominativo sarà escluso dalle successive attività di estrazione.</w:t>
      </w:r>
    </w:p>
    <w:p w14:paraId="05D2F02E" w14:textId="77777777" w:rsidR="00DB0FE6" w:rsidRPr="00741EB1" w:rsidRDefault="00DB0FE6" w:rsidP="00741EB1">
      <w:pPr>
        <w:pStyle w:val="NormaleWeb"/>
        <w:jc w:val="center"/>
        <w:rPr>
          <w:rFonts w:ascii="Arial" w:hAnsi="Arial" w:cs="Arial"/>
          <w:color w:val="000000"/>
        </w:rPr>
      </w:pPr>
    </w:p>
    <w:sectPr w:rsidR="00DB0FE6" w:rsidRPr="00741EB1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6855C" w14:textId="77777777" w:rsidR="00F30F77" w:rsidRDefault="00F30F77" w:rsidP="0053767A">
      <w:r>
        <w:separator/>
      </w:r>
    </w:p>
  </w:endnote>
  <w:endnote w:type="continuationSeparator" w:id="0">
    <w:p w14:paraId="629EFD6C" w14:textId="77777777" w:rsidR="00F30F77" w:rsidRDefault="00F30F77" w:rsidP="00537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63293" w14:textId="77777777" w:rsidR="00F30F77" w:rsidRDefault="00F30F77" w:rsidP="0053767A">
      <w:r>
        <w:separator/>
      </w:r>
    </w:p>
  </w:footnote>
  <w:footnote w:type="continuationSeparator" w:id="0">
    <w:p w14:paraId="0EAF5B84" w14:textId="77777777" w:rsidR="00F30F77" w:rsidRDefault="00F30F77" w:rsidP="005376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FCF04" w14:textId="137E3C70" w:rsidR="0053767A" w:rsidRDefault="0053767A" w:rsidP="0053767A">
    <w:pPr>
      <w:pStyle w:val="Intestazione"/>
      <w:jc w:val="center"/>
    </w:pPr>
    <w:r>
      <w:rPr>
        <w:noProof/>
      </w:rPr>
      <w:drawing>
        <wp:inline distT="0" distB="0" distL="0" distR="0" wp14:anchorId="6CE15400" wp14:editId="1B607080">
          <wp:extent cx="2493645" cy="847090"/>
          <wp:effectExtent l="0" t="0" r="0" b="0"/>
          <wp:docPr id="1" name="Immagine 1" descr="CNDCE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CNDCEC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3645" cy="847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AD7"/>
    <w:rsid w:val="0000607D"/>
    <w:rsid w:val="00124B6E"/>
    <w:rsid w:val="00132A25"/>
    <w:rsid w:val="00152D89"/>
    <w:rsid w:val="001A0459"/>
    <w:rsid w:val="00204DB5"/>
    <w:rsid w:val="002502F4"/>
    <w:rsid w:val="00254D79"/>
    <w:rsid w:val="00265B97"/>
    <w:rsid w:val="0027447A"/>
    <w:rsid w:val="00287CAA"/>
    <w:rsid w:val="002C046C"/>
    <w:rsid w:val="002E3353"/>
    <w:rsid w:val="002E3933"/>
    <w:rsid w:val="00336A78"/>
    <w:rsid w:val="003407A8"/>
    <w:rsid w:val="003B6CF5"/>
    <w:rsid w:val="003D5A57"/>
    <w:rsid w:val="003E6C43"/>
    <w:rsid w:val="00402D0F"/>
    <w:rsid w:val="0040487B"/>
    <w:rsid w:val="0042652A"/>
    <w:rsid w:val="0043677A"/>
    <w:rsid w:val="00450573"/>
    <w:rsid w:val="00450DF1"/>
    <w:rsid w:val="00464615"/>
    <w:rsid w:val="004B3E6D"/>
    <w:rsid w:val="004B52B8"/>
    <w:rsid w:val="004C73FD"/>
    <w:rsid w:val="005323A8"/>
    <w:rsid w:val="0053767A"/>
    <w:rsid w:val="00587889"/>
    <w:rsid w:val="005A6576"/>
    <w:rsid w:val="0065054B"/>
    <w:rsid w:val="006664F3"/>
    <w:rsid w:val="00683387"/>
    <w:rsid w:val="00686343"/>
    <w:rsid w:val="006928E0"/>
    <w:rsid w:val="006B1EB0"/>
    <w:rsid w:val="006B222B"/>
    <w:rsid w:val="006B3E6A"/>
    <w:rsid w:val="006F39E8"/>
    <w:rsid w:val="00731085"/>
    <w:rsid w:val="00741EB1"/>
    <w:rsid w:val="007C336D"/>
    <w:rsid w:val="007E017B"/>
    <w:rsid w:val="0081776A"/>
    <w:rsid w:val="0084198B"/>
    <w:rsid w:val="008643F7"/>
    <w:rsid w:val="0087548C"/>
    <w:rsid w:val="00875577"/>
    <w:rsid w:val="008B0AD7"/>
    <w:rsid w:val="008C22FF"/>
    <w:rsid w:val="008D4C55"/>
    <w:rsid w:val="008E4C2D"/>
    <w:rsid w:val="00921C2C"/>
    <w:rsid w:val="009577EA"/>
    <w:rsid w:val="009657C6"/>
    <w:rsid w:val="009D7B0D"/>
    <w:rsid w:val="009F5AF0"/>
    <w:rsid w:val="00A46128"/>
    <w:rsid w:val="00A501AA"/>
    <w:rsid w:val="00A9065C"/>
    <w:rsid w:val="00B6559A"/>
    <w:rsid w:val="00C065BA"/>
    <w:rsid w:val="00C610A8"/>
    <w:rsid w:val="00D11F59"/>
    <w:rsid w:val="00D729BE"/>
    <w:rsid w:val="00D92D7B"/>
    <w:rsid w:val="00DB0FE6"/>
    <w:rsid w:val="00DC46DB"/>
    <w:rsid w:val="00E339D8"/>
    <w:rsid w:val="00E5193A"/>
    <w:rsid w:val="00E730CE"/>
    <w:rsid w:val="00E9381D"/>
    <w:rsid w:val="00F30F77"/>
    <w:rsid w:val="00F922AA"/>
    <w:rsid w:val="00FA6626"/>
    <w:rsid w:val="00FB30D0"/>
    <w:rsid w:val="00FB414A"/>
    <w:rsid w:val="00FE3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CE167"/>
  <w15:chartTrackingRefBased/>
  <w15:docId w15:val="{E736ABF5-AE2F-45F8-A7AE-AFAF391E3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B0AD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8B0AD7"/>
    <w:rPr>
      <w:rFonts w:cs="Times New Roman"/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B0AD7"/>
    <w:rPr>
      <w:color w:val="954F72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3767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3767A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53767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3767A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NormaleWeb">
    <w:name w:val="Normal (Web)"/>
    <w:basedOn w:val="Normale"/>
    <w:uiPriority w:val="99"/>
    <w:unhideWhenUsed/>
    <w:rsid w:val="00FE3235"/>
    <w:rPr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FE3235"/>
    <w:rPr>
      <w:color w:val="605E5C"/>
      <w:shd w:val="clear" w:color="auto" w:fill="E1DFDD"/>
    </w:rPr>
  </w:style>
  <w:style w:type="paragraph" w:customStyle="1" w:styleId="elementtoproof">
    <w:name w:val="elementtoproof"/>
    <w:basedOn w:val="Normale"/>
    <w:uiPriority w:val="99"/>
    <w:semiHidden/>
    <w:rsid w:val="007E017B"/>
    <w:rPr>
      <w:rFonts w:ascii="Aptos" w:eastAsiaTheme="minorHAnsi" w:hAnsi="Aptos" w:cs="Apto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15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ercialisti.it/informative/107-indicazioni-operative-allo-svolgimento-delle-perizie-asseverate-previste-dallart-1-comma-9-del-d-l-n-131-2024-raccolta-delle-candidature-dei-professionisti-disponibili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ommercialisti.it/informative/109-attivazione-della-procedura-telematica-per-la-presentazione-delle-candidature-dei-professionisti-disponibili-allo-svolgimento-delle-perizie-asseverate-previste-dallart-1-comma-9-del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mmercialisti.it/informative/109-attivazione-della-procedura-telematica-per-la-presentazione-delle-candidature-dei-professionisti-disponibili-allo-svolgimento-delle-perizie-asseverate-previste-dallart-1-comma-9-del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427</Words>
  <Characters>2958</Characters>
  <Application>Microsoft Office Word</Application>
  <DocSecurity>0</DocSecurity>
  <Lines>58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Mastrogiacomo Tiziana</dc:creator>
  <cp:keywords/>
  <dc:description/>
  <cp:lastModifiedBy>Mastrogiacomo Tiziana</cp:lastModifiedBy>
  <cp:revision>61</cp:revision>
  <dcterms:created xsi:type="dcterms:W3CDTF">2024-03-12T08:10:00Z</dcterms:created>
  <dcterms:modified xsi:type="dcterms:W3CDTF">2026-09-04T10:17:00Z</dcterms:modified>
</cp:coreProperties>
</file>