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0F2D28" w:rsidRDefault="0034412C" w:rsidP="000F2D28">
      <w:pPr>
        <w:spacing w:after="0" w:line="240" w:lineRule="auto"/>
        <w:jc w:val="both"/>
        <w:rPr>
          <w:rFonts w:ascii="Arial" w:hAnsi="Arial" w:cs="Arial"/>
          <w:sz w:val="24"/>
          <w:szCs w:val="24"/>
        </w:rPr>
      </w:pPr>
    </w:p>
    <w:p w14:paraId="1449BA9B" w14:textId="77777777" w:rsidR="00DE2CAC" w:rsidRPr="00DE2CAC" w:rsidRDefault="00DE2CAC" w:rsidP="00DE2CAC">
      <w:pPr>
        <w:spacing w:after="0" w:line="240" w:lineRule="auto"/>
        <w:jc w:val="center"/>
        <w:rPr>
          <w:rFonts w:ascii="Arial" w:hAnsi="Arial" w:cs="Arial"/>
          <w:b/>
          <w:bCs/>
          <w:sz w:val="24"/>
          <w:szCs w:val="24"/>
          <w:u w:val="single"/>
        </w:rPr>
      </w:pPr>
      <w:r w:rsidRPr="00DE2CAC">
        <w:rPr>
          <w:rFonts w:ascii="Arial" w:hAnsi="Arial" w:cs="Arial"/>
          <w:b/>
          <w:bCs/>
          <w:sz w:val="24"/>
          <w:szCs w:val="24"/>
          <w:u w:val="single"/>
        </w:rPr>
        <w:t>Comunicato stampa</w:t>
      </w:r>
    </w:p>
    <w:p w14:paraId="6B8895F6" w14:textId="77777777" w:rsidR="00DE2CAC" w:rsidRPr="00DE2CAC" w:rsidRDefault="00DE2CAC" w:rsidP="00DE2CAC">
      <w:pPr>
        <w:spacing w:after="0" w:line="240" w:lineRule="auto"/>
        <w:jc w:val="center"/>
        <w:rPr>
          <w:rFonts w:ascii="Arial" w:hAnsi="Arial" w:cs="Arial"/>
          <w:b/>
          <w:bCs/>
          <w:sz w:val="24"/>
          <w:szCs w:val="24"/>
          <w:u w:val="single"/>
        </w:rPr>
      </w:pPr>
      <w:r w:rsidRPr="00DE2CAC">
        <w:rPr>
          <w:rFonts w:ascii="Arial" w:hAnsi="Arial" w:cs="Arial"/>
          <w:b/>
          <w:bCs/>
          <w:sz w:val="24"/>
          <w:szCs w:val="24"/>
          <w:u w:val="single"/>
        </w:rPr>
        <w:t xml:space="preserve"> </w:t>
      </w:r>
    </w:p>
    <w:p w14:paraId="71EDED69" w14:textId="77777777" w:rsidR="00DE2CAC" w:rsidRPr="00DE2CAC" w:rsidRDefault="00DE2CAC" w:rsidP="00DE2CAC">
      <w:pPr>
        <w:spacing w:after="0" w:line="240" w:lineRule="auto"/>
        <w:jc w:val="center"/>
        <w:rPr>
          <w:rFonts w:ascii="Arial" w:hAnsi="Arial" w:cs="Arial"/>
          <w:b/>
          <w:bCs/>
          <w:sz w:val="24"/>
          <w:szCs w:val="24"/>
        </w:rPr>
      </w:pPr>
      <w:r w:rsidRPr="00DE2CAC">
        <w:rPr>
          <w:rFonts w:ascii="Arial" w:hAnsi="Arial" w:cs="Arial"/>
          <w:b/>
          <w:bCs/>
          <w:sz w:val="24"/>
          <w:szCs w:val="24"/>
        </w:rPr>
        <w:t>TERZO SETTORE, DAI COMMERCIALISTI UN VOLUME SUI BILANCI</w:t>
      </w:r>
    </w:p>
    <w:p w14:paraId="4FB9B67A" w14:textId="77777777" w:rsidR="00DE2CAC" w:rsidRPr="00DE2CAC" w:rsidRDefault="00DE2CAC" w:rsidP="00DE2CAC">
      <w:pPr>
        <w:spacing w:after="0" w:line="240" w:lineRule="auto"/>
        <w:jc w:val="center"/>
        <w:rPr>
          <w:rFonts w:ascii="Arial" w:hAnsi="Arial" w:cs="Arial"/>
          <w:b/>
          <w:bCs/>
          <w:sz w:val="24"/>
          <w:szCs w:val="24"/>
        </w:rPr>
      </w:pPr>
      <w:r w:rsidRPr="00DE2CAC">
        <w:rPr>
          <w:rFonts w:ascii="Arial" w:hAnsi="Arial" w:cs="Arial"/>
          <w:b/>
          <w:bCs/>
          <w:sz w:val="24"/>
          <w:szCs w:val="24"/>
        </w:rPr>
        <w:t xml:space="preserve"> </w:t>
      </w:r>
    </w:p>
    <w:p w14:paraId="229A3E5D" w14:textId="77777777" w:rsidR="00DE2CAC" w:rsidRPr="00DE2CAC" w:rsidRDefault="00DE2CAC" w:rsidP="00DE2CAC">
      <w:pPr>
        <w:spacing w:after="0" w:line="240" w:lineRule="auto"/>
        <w:jc w:val="center"/>
        <w:rPr>
          <w:rFonts w:ascii="Arial" w:hAnsi="Arial" w:cs="Arial"/>
          <w:b/>
          <w:bCs/>
          <w:sz w:val="24"/>
          <w:szCs w:val="24"/>
        </w:rPr>
      </w:pPr>
      <w:r w:rsidRPr="00DE2CAC">
        <w:rPr>
          <w:rFonts w:ascii="Arial" w:hAnsi="Arial" w:cs="Arial"/>
          <w:b/>
          <w:bCs/>
          <w:sz w:val="24"/>
          <w:szCs w:val="24"/>
        </w:rPr>
        <w:t>La pubblicazione, scaricabile gratuitamente dai siti del Consiglio e della Fondazione nazionali della categoria, offre una lettura sistematica e operativa della disciplina contabile degli ETS, con l’obiettivo di accompagnare professionisti, amministratori, componenti degli organi di controllo, revisori, studiosi e operatori nell’applicazione concreta delle disposizioni normative e dei principi contabili di riferimento</w:t>
      </w:r>
    </w:p>
    <w:p w14:paraId="125739AC" w14:textId="77777777" w:rsidR="00DE2CAC" w:rsidRPr="00DE2CAC" w:rsidRDefault="00DE2CAC" w:rsidP="00DE2CAC">
      <w:pPr>
        <w:spacing w:after="0" w:line="240" w:lineRule="auto"/>
        <w:jc w:val="both"/>
        <w:rPr>
          <w:rFonts w:ascii="Arial" w:hAnsi="Arial" w:cs="Arial"/>
          <w:b/>
          <w:bCs/>
          <w:sz w:val="24"/>
          <w:szCs w:val="24"/>
        </w:rPr>
      </w:pPr>
      <w:r w:rsidRPr="00DE2CAC">
        <w:rPr>
          <w:rFonts w:ascii="Arial" w:hAnsi="Arial" w:cs="Arial"/>
          <w:b/>
          <w:bCs/>
          <w:sz w:val="24"/>
          <w:szCs w:val="24"/>
        </w:rPr>
        <w:t xml:space="preserve"> </w:t>
      </w:r>
    </w:p>
    <w:p w14:paraId="374C44B1" w14:textId="351ADF63" w:rsidR="00DE2CAC" w:rsidRPr="00DE2CAC" w:rsidRDefault="00DE2CAC" w:rsidP="00DE2CAC">
      <w:pPr>
        <w:spacing w:after="0" w:line="240" w:lineRule="auto"/>
        <w:jc w:val="both"/>
        <w:rPr>
          <w:rFonts w:ascii="Arial" w:hAnsi="Arial" w:cs="Arial"/>
          <w:sz w:val="24"/>
          <w:szCs w:val="24"/>
        </w:rPr>
      </w:pPr>
      <w:r w:rsidRPr="00DE2CAC">
        <w:rPr>
          <w:rFonts w:ascii="Arial" w:hAnsi="Arial" w:cs="Arial"/>
          <w:i/>
          <w:iCs/>
          <w:sz w:val="24"/>
          <w:szCs w:val="24"/>
        </w:rPr>
        <w:t>Roma, 31 luglio 2026</w:t>
      </w:r>
      <w:r w:rsidRPr="00DE2CAC">
        <w:rPr>
          <w:rFonts w:ascii="Arial" w:hAnsi="Arial" w:cs="Arial"/>
          <w:sz w:val="24"/>
          <w:szCs w:val="24"/>
        </w:rPr>
        <w:t xml:space="preserve"> - Il Consiglio e la Fondazione nazionali dei commercialisti hanno pubblicato il volume “</w:t>
      </w:r>
      <w:r w:rsidRPr="00DE2CAC">
        <w:rPr>
          <w:rFonts w:ascii="Arial" w:hAnsi="Arial" w:cs="Arial"/>
          <w:b/>
          <w:bCs/>
          <w:sz w:val="24"/>
          <w:szCs w:val="24"/>
        </w:rPr>
        <w:t>Il bilancio degli enti del Terzo settore</w:t>
      </w:r>
      <w:r w:rsidRPr="00DE2CAC">
        <w:rPr>
          <w:rFonts w:ascii="Arial" w:hAnsi="Arial" w:cs="Arial"/>
          <w:sz w:val="24"/>
          <w:szCs w:val="24"/>
        </w:rPr>
        <w:t xml:space="preserve">. Un'analisi normativa e tecnico-contabile alla luce della più recente prassi ministeriale e operativa”. La pubblicazione, curata da </w:t>
      </w:r>
      <w:r w:rsidRPr="00DE2CAC">
        <w:rPr>
          <w:rFonts w:ascii="Arial" w:hAnsi="Arial" w:cs="Arial"/>
          <w:b/>
          <w:bCs/>
          <w:sz w:val="24"/>
          <w:szCs w:val="24"/>
        </w:rPr>
        <w:t>Matteo Pozzoli</w:t>
      </w:r>
      <w:r w:rsidRPr="00DE2CAC">
        <w:rPr>
          <w:rFonts w:ascii="Arial" w:hAnsi="Arial" w:cs="Arial"/>
          <w:sz w:val="24"/>
          <w:szCs w:val="24"/>
        </w:rPr>
        <w:t>, Professore associato di Economia aziendale presso Universitas Mercatorum e consulente del Consiglio nazionale dei commercialisti, giunta alla sua quarta edizione, è scaricabile gratuitamente dai siti del Consiglio e della Fondazione.</w:t>
      </w:r>
    </w:p>
    <w:p w14:paraId="03F3FF8A" w14:textId="77777777" w:rsidR="00DE2CAC" w:rsidRPr="00DE2CAC" w:rsidRDefault="00DE2CAC" w:rsidP="00DE2CAC">
      <w:pPr>
        <w:spacing w:after="0" w:line="240" w:lineRule="auto"/>
        <w:jc w:val="both"/>
        <w:rPr>
          <w:rFonts w:ascii="Arial" w:hAnsi="Arial" w:cs="Arial"/>
          <w:sz w:val="24"/>
          <w:szCs w:val="24"/>
        </w:rPr>
      </w:pPr>
      <w:r w:rsidRPr="00DE2CAC">
        <w:rPr>
          <w:rFonts w:ascii="Arial" w:hAnsi="Arial" w:cs="Arial"/>
          <w:sz w:val="24"/>
          <w:szCs w:val="24"/>
        </w:rPr>
        <w:t xml:space="preserve"> </w:t>
      </w:r>
    </w:p>
    <w:p w14:paraId="429EFE51" w14:textId="77777777" w:rsidR="00DE2CAC" w:rsidRPr="00DE2CAC" w:rsidRDefault="00DE2CAC" w:rsidP="00DE2CAC">
      <w:pPr>
        <w:spacing w:after="0" w:line="240" w:lineRule="auto"/>
        <w:jc w:val="both"/>
        <w:rPr>
          <w:rFonts w:ascii="Arial" w:hAnsi="Arial" w:cs="Arial"/>
          <w:sz w:val="24"/>
          <w:szCs w:val="24"/>
        </w:rPr>
      </w:pPr>
      <w:r w:rsidRPr="00DE2CAC">
        <w:rPr>
          <w:rFonts w:ascii="Arial" w:hAnsi="Arial" w:cs="Arial"/>
          <w:sz w:val="24"/>
          <w:szCs w:val="24"/>
        </w:rPr>
        <w:t>A quasi dieci anni dall’avvio della Riforma del Terzo settore, il bilancio degli ETS si è definitivamente affermato come il principale strumento di trasparenza, governo e legittimazione di queste organizzazioni, capace di incidere direttamente sulla verifica del rispetto delle condizioni richieste dalla normativa. La Riforma ha attribuito ai commercialisti nuove responsabilità, che spaziano dalla predisposizione dei bilanci al funzionamento degli organi di controllo, dalla revisione legale all’attestazione del patrimonio minimo necessario per l’acquisizione della personalità giuridica, fino al supporto degli enti nell’applicazione della nuova disciplina fiscale.</w:t>
      </w:r>
    </w:p>
    <w:p w14:paraId="688F3134" w14:textId="77777777" w:rsidR="00DE2CAC" w:rsidRPr="00DE2CAC" w:rsidRDefault="00DE2CAC" w:rsidP="00DE2CAC">
      <w:pPr>
        <w:spacing w:after="0" w:line="240" w:lineRule="auto"/>
        <w:jc w:val="both"/>
        <w:rPr>
          <w:rFonts w:ascii="Arial" w:hAnsi="Arial" w:cs="Arial"/>
          <w:sz w:val="24"/>
          <w:szCs w:val="24"/>
        </w:rPr>
      </w:pPr>
      <w:r w:rsidRPr="00DE2CAC">
        <w:rPr>
          <w:rFonts w:ascii="Arial" w:hAnsi="Arial" w:cs="Arial"/>
          <w:sz w:val="24"/>
          <w:szCs w:val="24"/>
        </w:rPr>
        <w:t xml:space="preserve"> </w:t>
      </w:r>
    </w:p>
    <w:p w14:paraId="585F988B" w14:textId="77777777" w:rsidR="00DE2CAC" w:rsidRPr="00DE2CAC" w:rsidRDefault="00DE2CAC" w:rsidP="00DE2CAC">
      <w:pPr>
        <w:spacing w:after="0" w:line="240" w:lineRule="auto"/>
        <w:jc w:val="both"/>
        <w:rPr>
          <w:rFonts w:ascii="Arial" w:hAnsi="Arial" w:cs="Arial"/>
          <w:sz w:val="24"/>
          <w:szCs w:val="24"/>
        </w:rPr>
      </w:pPr>
      <w:r w:rsidRPr="00DE2CAC">
        <w:rPr>
          <w:rFonts w:ascii="Arial" w:hAnsi="Arial" w:cs="Arial"/>
          <w:sz w:val="24"/>
          <w:szCs w:val="24"/>
        </w:rPr>
        <w:t xml:space="preserve">Per il presidente del Consiglio nazionale dei commercialisti, </w:t>
      </w:r>
      <w:r w:rsidRPr="00DE2CAC">
        <w:rPr>
          <w:rFonts w:ascii="Arial" w:hAnsi="Arial" w:cs="Arial"/>
          <w:b/>
          <w:bCs/>
          <w:sz w:val="24"/>
          <w:szCs w:val="24"/>
        </w:rPr>
        <w:t>Elbano de Nuccio</w:t>
      </w:r>
      <w:r w:rsidRPr="00DE2CAC">
        <w:rPr>
          <w:rFonts w:ascii="Arial" w:hAnsi="Arial" w:cs="Arial"/>
          <w:sz w:val="24"/>
          <w:szCs w:val="24"/>
        </w:rPr>
        <w:t>, “il bilancio non rappresenta soltanto la sintesi numerica di una gestione, bensì il mezzo attraverso il quale l’ente dimostra la propria coerenza rispetto alla missione istituzionale, la correttezza dell’utilizzo delle risorse affidategli e il contributo offerto alla collettività di riferimento. In questo contesto, il volume si propone di offrire una lettura sistematica e operativa della disciplina contabile degli ETS, con l’obiettivo di accompagnare professionisti, amministratori, componenti degli organi di controllo, revisori, studiosi e operatori del Terzo settore nell’applicazione concreta delle disposizioni normative e dei principi contabili di riferimento. Il volume aspira quindi a “contestualizzare” il bilancio nell’ambito amministrativo contabile, fiscale, rendicontativo e civilistico di riferimento, cercando di inquadrare con una visione scientifica e tecnico applicativa le principali problematiche esistenti in materia e ambendo a individuare soluzioni di prassi operativa che possano supportare i commercialisti nello svolgimento dei propri incarichi”.</w:t>
      </w:r>
    </w:p>
    <w:p w14:paraId="666BE19D" w14:textId="77777777" w:rsidR="00DE2CAC" w:rsidRPr="00DE2CAC" w:rsidRDefault="00DE2CAC" w:rsidP="00DE2CAC">
      <w:pPr>
        <w:spacing w:after="0" w:line="240" w:lineRule="auto"/>
        <w:jc w:val="both"/>
        <w:rPr>
          <w:rFonts w:ascii="Arial" w:hAnsi="Arial" w:cs="Arial"/>
          <w:sz w:val="24"/>
          <w:szCs w:val="24"/>
        </w:rPr>
      </w:pPr>
      <w:r w:rsidRPr="00DE2CAC">
        <w:rPr>
          <w:rFonts w:ascii="Arial" w:hAnsi="Arial" w:cs="Arial"/>
          <w:sz w:val="24"/>
          <w:szCs w:val="24"/>
        </w:rPr>
        <w:t xml:space="preserve"> </w:t>
      </w:r>
    </w:p>
    <w:p w14:paraId="53BB2B10" w14:textId="5969F7BA" w:rsidR="00DE2CAC" w:rsidRPr="00DE2CAC" w:rsidRDefault="00DE2CAC" w:rsidP="00DE2CAC">
      <w:pPr>
        <w:spacing w:after="0" w:line="240" w:lineRule="auto"/>
        <w:jc w:val="both"/>
        <w:rPr>
          <w:rFonts w:ascii="Arial" w:hAnsi="Arial" w:cs="Arial"/>
          <w:sz w:val="24"/>
          <w:szCs w:val="24"/>
        </w:rPr>
      </w:pPr>
      <w:r w:rsidRPr="00DE2CAC">
        <w:rPr>
          <w:rFonts w:ascii="Arial" w:hAnsi="Arial" w:cs="Arial"/>
          <w:sz w:val="24"/>
          <w:szCs w:val="24"/>
        </w:rPr>
        <w:t xml:space="preserve">“Molte delle disposizioni contenute nel Codice del Terzo settore – spiega il Consigliere </w:t>
      </w:r>
      <w:r w:rsidR="00AF4569">
        <w:rPr>
          <w:rFonts w:ascii="Arial" w:hAnsi="Arial" w:cs="Arial"/>
          <w:sz w:val="24"/>
          <w:szCs w:val="24"/>
        </w:rPr>
        <w:t>tesoriere</w:t>
      </w:r>
      <w:r w:rsidRPr="00DE2CAC">
        <w:rPr>
          <w:rFonts w:ascii="Arial" w:hAnsi="Arial" w:cs="Arial"/>
          <w:sz w:val="24"/>
          <w:szCs w:val="24"/>
        </w:rPr>
        <w:t xml:space="preserve"> nazionale dei commercialisti delegato alla materia, </w:t>
      </w:r>
      <w:r w:rsidRPr="00DE2CAC">
        <w:rPr>
          <w:rFonts w:ascii="Arial" w:hAnsi="Arial" w:cs="Arial"/>
          <w:b/>
          <w:bCs/>
          <w:sz w:val="24"/>
          <w:szCs w:val="24"/>
        </w:rPr>
        <w:t>David Moro</w:t>
      </w:r>
      <w:r w:rsidRPr="00DE2CAC">
        <w:rPr>
          <w:rFonts w:ascii="Arial" w:hAnsi="Arial" w:cs="Arial"/>
          <w:sz w:val="24"/>
          <w:szCs w:val="24"/>
        </w:rPr>
        <w:t xml:space="preserve"> - trovano oggi applicazione attraverso i dati desumibili dal bilancio: dalla verifica della prevalenza delle attività di interesse generale al monitoraggio delle attività diverse, dalla determinazione degli obblighi di trasparenza alla nomina degli organi di controllo e di revisione, fino alla qualificazione fiscale dell’ente. Le risultanze del bilancio divengono il punto di partenza per la qualificazione tributaria delle operazioni e per la verifica delle condizioni richieste per l’accesso ai regimi fiscali di favore. Il bilancio, però, non è solo un mezzo di “informazione” </w:t>
      </w:r>
      <w:r w:rsidRPr="00DE2CAC">
        <w:rPr>
          <w:rFonts w:ascii="Arial" w:hAnsi="Arial" w:cs="Arial"/>
          <w:sz w:val="24"/>
          <w:szCs w:val="24"/>
        </w:rPr>
        <w:lastRenderedPageBreak/>
        <w:t>rivolto all’esterno. È anche un potente strumento di gestione che può orientare i decisori interni a prendere scelte consapevoli. La predisposizione di un bilancio capace di guidare in modo trasparente e partecipato le scelte decisionali identifica la volontà di legittimare il proprio ruolo nella collettività e contribuisce al percorso di crescita dell’ente e, insieme, del movimento tutto. Questo volume nasce dall’obiettivo condiviso di offrire una lettura integrata delle disposizioni, evitando una ricostruzione meramente descrittiva della normativa e privilegiando, invece, un approccio che tenga conto delle concrete esigenze applicative degli operatori e delle finalità perseguite”.</w:t>
      </w:r>
    </w:p>
    <w:p w14:paraId="74035C53" w14:textId="77777777" w:rsidR="00D50AD9" w:rsidRPr="000F2D28" w:rsidRDefault="00D50AD9" w:rsidP="00DE2CAC">
      <w:pPr>
        <w:spacing w:after="0" w:line="240" w:lineRule="auto"/>
        <w:jc w:val="center"/>
        <w:rPr>
          <w:rFonts w:ascii="Arial" w:hAnsi="Arial" w:cs="Arial"/>
          <w:b/>
          <w:bCs/>
          <w:sz w:val="24"/>
          <w:szCs w:val="24"/>
          <w:u w:val="single"/>
        </w:rPr>
      </w:pPr>
    </w:p>
    <w:sectPr w:rsidR="00D50AD9" w:rsidRPr="000F2D2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0B3E" w14:textId="77777777" w:rsidR="00B1554C" w:rsidRDefault="00B1554C" w:rsidP="005924AA">
      <w:pPr>
        <w:spacing w:after="0" w:line="240" w:lineRule="auto"/>
      </w:pPr>
      <w:r>
        <w:separator/>
      </w:r>
    </w:p>
  </w:endnote>
  <w:endnote w:type="continuationSeparator" w:id="0">
    <w:p w14:paraId="3895393C" w14:textId="77777777" w:rsidR="00B1554C" w:rsidRDefault="00B1554C"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BBA7E" w14:textId="77777777" w:rsidR="00B1554C" w:rsidRDefault="00B1554C" w:rsidP="005924AA">
      <w:pPr>
        <w:spacing w:after="0" w:line="240" w:lineRule="auto"/>
      </w:pPr>
      <w:r>
        <w:separator/>
      </w:r>
    </w:p>
  </w:footnote>
  <w:footnote w:type="continuationSeparator" w:id="0">
    <w:p w14:paraId="31BBB83F" w14:textId="77777777" w:rsidR="00B1554C" w:rsidRDefault="00B1554C"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0F2D28"/>
    <w:rsid w:val="00120AAA"/>
    <w:rsid w:val="0012316F"/>
    <w:rsid w:val="00141383"/>
    <w:rsid w:val="0016023F"/>
    <w:rsid w:val="001678B0"/>
    <w:rsid w:val="00181182"/>
    <w:rsid w:val="0018274F"/>
    <w:rsid w:val="001A1432"/>
    <w:rsid w:val="0025357C"/>
    <w:rsid w:val="00316C8A"/>
    <w:rsid w:val="00333625"/>
    <w:rsid w:val="0034412C"/>
    <w:rsid w:val="00371BF8"/>
    <w:rsid w:val="003949EB"/>
    <w:rsid w:val="003A3EE8"/>
    <w:rsid w:val="003B5262"/>
    <w:rsid w:val="003F4FF4"/>
    <w:rsid w:val="00434A2A"/>
    <w:rsid w:val="00460A76"/>
    <w:rsid w:val="00464F84"/>
    <w:rsid w:val="00471104"/>
    <w:rsid w:val="004727EA"/>
    <w:rsid w:val="004758D4"/>
    <w:rsid w:val="00511A28"/>
    <w:rsid w:val="00515E73"/>
    <w:rsid w:val="00552257"/>
    <w:rsid w:val="005924AA"/>
    <w:rsid w:val="005B160E"/>
    <w:rsid w:val="005C408D"/>
    <w:rsid w:val="005D6397"/>
    <w:rsid w:val="005E341C"/>
    <w:rsid w:val="005F5CD0"/>
    <w:rsid w:val="00605E5D"/>
    <w:rsid w:val="00607512"/>
    <w:rsid w:val="006517B7"/>
    <w:rsid w:val="00674365"/>
    <w:rsid w:val="006A2BB3"/>
    <w:rsid w:val="006A3980"/>
    <w:rsid w:val="006B3A85"/>
    <w:rsid w:val="006D343B"/>
    <w:rsid w:val="006E5FD4"/>
    <w:rsid w:val="00704D71"/>
    <w:rsid w:val="00710059"/>
    <w:rsid w:val="00744E87"/>
    <w:rsid w:val="00777241"/>
    <w:rsid w:val="0079699C"/>
    <w:rsid w:val="007C0CEB"/>
    <w:rsid w:val="007C185C"/>
    <w:rsid w:val="007C1F26"/>
    <w:rsid w:val="007E44AD"/>
    <w:rsid w:val="007F26C0"/>
    <w:rsid w:val="008260E6"/>
    <w:rsid w:val="00871D8C"/>
    <w:rsid w:val="008B187E"/>
    <w:rsid w:val="008E5982"/>
    <w:rsid w:val="00916FAF"/>
    <w:rsid w:val="00965FD8"/>
    <w:rsid w:val="00982972"/>
    <w:rsid w:val="009E39B5"/>
    <w:rsid w:val="00A05CB5"/>
    <w:rsid w:val="00A4589B"/>
    <w:rsid w:val="00A6732C"/>
    <w:rsid w:val="00AD6A82"/>
    <w:rsid w:val="00AE6F0D"/>
    <w:rsid w:val="00AF4569"/>
    <w:rsid w:val="00AF7255"/>
    <w:rsid w:val="00B1554C"/>
    <w:rsid w:val="00B34B17"/>
    <w:rsid w:val="00B65D1B"/>
    <w:rsid w:val="00BB00CD"/>
    <w:rsid w:val="00BB4721"/>
    <w:rsid w:val="00BE77B4"/>
    <w:rsid w:val="00C30E35"/>
    <w:rsid w:val="00C46B18"/>
    <w:rsid w:val="00C64EBF"/>
    <w:rsid w:val="00C87D3E"/>
    <w:rsid w:val="00CA4C27"/>
    <w:rsid w:val="00D05847"/>
    <w:rsid w:val="00D07D2C"/>
    <w:rsid w:val="00D50AD9"/>
    <w:rsid w:val="00DC5AEF"/>
    <w:rsid w:val="00DD2CA9"/>
    <w:rsid w:val="00DE2CAC"/>
    <w:rsid w:val="00DE34D0"/>
    <w:rsid w:val="00DE616C"/>
    <w:rsid w:val="00DF494C"/>
    <w:rsid w:val="00E36BA3"/>
    <w:rsid w:val="00E37988"/>
    <w:rsid w:val="00E41B58"/>
    <w:rsid w:val="00E82CBD"/>
    <w:rsid w:val="00EA40FF"/>
    <w:rsid w:val="00ED4C7C"/>
    <w:rsid w:val="00F86C15"/>
    <w:rsid w:val="00FD1850"/>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642</Words>
  <Characters>3664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4</cp:revision>
  <dcterms:created xsi:type="dcterms:W3CDTF">2026-07-31T08:49:00Z</dcterms:created>
  <dcterms:modified xsi:type="dcterms:W3CDTF">2026-07-31T11:26:00Z</dcterms:modified>
</cp:coreProperties>
</file>