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5ED68" w14:textId="77777777" w:rsidR="00AF7741" w:rsidRPr="00044DAE" w:rsidRDefault="00AF7741" w:rsidP="00044DAE">
      <w:pPr>
        <w:jc w:val="both"/>
        <w:rPr>
          <w:rFonts w:ascii="Arial" w:hAnsi="Arial" w:cs="Arial"/>
        </w:rPr>
      </w:pPr>
    </w:p>
    <w:p w14:paraId="2C129308" w14:textId="77777777" w:rsidR="00354AB7" w:rsidRPr="00354AB7" w:rsidRDefault="00354AB7" w:rsidP="00354AB7">
      <w:pPr>
        <w:jc w:val="center"/>
        <w:rPr>
          <w:rFonts w:ascii="Arial" w:hAnsi="Arial" w:cs="Arial"/>
          <w:color w:val="000000"/>
          <w:sz w:val="23"/>
          <w:szCs w:val="23"/>
        </w:rPr>
      </w:pPr>
      <w:r w:rsidRPr="00354AB7">
        <w:rPr>
          <w:rFonts w:ascii="Arial" w:hAnsi="Arial" w:cs="Arial"/>
          <w:b/>
          <w:bCs/>
          <w:color w:val="000000"/>
          <w:sz w:val="23"/>
          <w:szCs w:val="23"/>
          <w:u w:val="single"/>
        </w:rPr>
        <w:t>Comunicato stampa</w:t>
      </w:r>
    </w:p>
    <w:p w14:paraId="5F9F5B64" w14:textId="77777777" w:rsidR="00354AB7" w:rsidRPr="00354AB7" w:rsidRDefault="00354AB7" w:rsidP="00354AB7">
      <w:pPr>
        <w:jc w:val="center"/>
        <w:rPr>
          <w:rFonts w:ascii="Arial" w:hAnsi="Arial" w:cs="Arial"/>
          <w:color w:val="000000"/>
          <w:sz w:val="23"/>
          <w:szCs w:val="23"/>
        </w:rPr>
      </w:pPr>
    </w:p>
    <w:p w14:paraId="7F820216" w14:textId="77777777" w:rsidR="00354AB7" w:rsidRPr="00354AB7" w:rsidRDefault="00354AB7" w:rsidP="00354AB7">
      <w:pPr>
        <w:jc w:val="center"/>
        <w:rPr>
          <w:rFonts w:ascii="Arial" w:hAnsi="Arial" w:cs="Arial"/>
          <w:color w:val="000000"/>
          <w:sz w:val="23"/>
          <w:szCs w:val="23"/>
        </w:rPr>
      </w:pPr>
      <w:r w:rsidRPr="00354AB7">
        <w:rPr>
          <w:rFonts w:ascii="Arial" w:hAnsi="Arial" w:cs="Arial"/>
          <w:b/>
          <w:bCs/>
          <w:color w:val="000000"/>
          <w:sz w:val="23"/>
          <w:szCs w:val="23"/>
        </w:rPr>
        <w:t>TRASPARENZA RETRIBUTIVA, DAL COMITATO PARI OPPORTUNIT</w:t>
      </w:r>
      <w:r w:rsidRPr="00354AB7">
        <w:rPr>
          <w:rFonts w:ascii="Arial" w:hAnsi="Arial" w:cs="Arial"/>
          <w:b/>
          <w:bCs/>
          <w:sz w:val="23"/>
          <w:szCs w:val="23"/>
        </w:rPr>
        <w:t>À</w:t>
      </w:r>
      <w:r w:rsidRPr="00354AB7">
        <w:rPr>
          <w:rFonts w:ascii="Arial" w:hAnsi="Arial" w:cs="Arial"/>
          <w:b/>
          <w:bCs/>
          <w:color w:val="000000"/>
          <w:sz w:val="23"/>
          <w:szCs w:val="23"/>
        </w:rPr>
        <w:t xml:space="preserve"> DEI COMMERCIALISTI UN’ANALISI DEL D.LGS. 96/2026</w:t>
      </w:r>
    </w:p>
    <w:p w14:paraId="39970260" w14:textId="77777777" w:rsidR="00354AB7" w:rsidRPr="00354AB7" w:rsidRDefault="00354AB7" w:rsidP="00354AB7">
      <w:pPr>
        <w:jc w:val="both"/>
        <w:rPr>
          <w:rFonts w:ascii="Arial" w:hAnsi="Arial" w:cs="Arial"/>
          <w:color w:val="000000"/>
          <w:sz w:val="23"/>
          <w:szCs w:val="23"/>
        </w:rPr>
      </w:pPr>
      <w:r w:rsidRPr="00354AB7">
        <w:rPr>
          <w:rFonts w:ascii="Arial" w:hAnsi="Arial" w:cs="Arial"/>
          <w:b/>
          <w:bCs/>
          <w:color w:val="000000"/>
          <w:sz w:val="23"/>
          <w:szCs w:val="23"/>
        </w:rPr>
        <w:t> </w:t>
      </w:r>
    </w:p>
    <w:p w14:paraId="7142E46E" w14:textId="77777777" w:rsidR="00354AB7" w:rsidRPr="00354AB7" w:rsidRDefault="00354AB7" w:rsidP="00354AB7">
      <w:pPr>
        <w:jc w:val="center"/>
        <w:rPr>
          <w:rFonts w:ascii="Arial" w:hAnsi="Arial" w:cs="Arial"/>
          <w:color w:val="000000"/>
          <w:sz w:val="23"/>
          <w:szCs w:val="23"/>
        </w:rPr>
      </w:pPr>
      <w:r w:rsidRPr="00354AB7">
        <w:rPr>
          <w:rFonts w:ascii="Arial" w:hAnsi="Arial" w:cs="Arial"/>
          <w:b/>
          <w:bCs/>
          <w:color w:val="000000"/>
          <w:sz w:val="23"/>
          <w:szCs w:val="23"/>
        </w:rPr>
        <w:t>Pubblicato un documento che approfondisce i principali profili interpretativi e applicativi del decreto, fornendo ai professionisti uno strumento di studio e di supporto operativo</w:t>
      </w:r>
    </w:p>
    <w:p w14:paraId="2E423BB6" w14:textId="77777777" w:rsidR="00354AB7" w:rsidRPr="00354AB7" w:rsidRDefault="00354AB7" w:rsidP="00354AB7">
      <w:pPr>
        <w:jc w:val="both"/>
        <w:rPr>
          <w:rFonts w:ascii="Arial" w:hAnsi="Arial" w:cs="Arial"/>
          <w:color w:val="000000"/>
          <w:sz w:val="23"/>
          <w:szCs w:val="23"/>
        </w:rPr>
      </w:pPr>
      <w:r w:rsidRPr="00354AB7">
        <w:rPr>
          <w:rFonts w:ascii="Arial" w:hAnsi="Arial" w:cs="Arial"/>
          <w:b/>
          <w:bCs/>
          <w:color w:val="000000"/>
          <w:sz w:val="23"/>
          <w:szCs w:val="23"/>
        </w:rPr>
        <w:t> </w:t>
      </w:r>
    </w:p>
    <w:p w14:paraId="3DF97063" w14:textId="77777777" w:rsidR="00354AB7" w:rsidRPr="00354AB7" w:rsidRDefault="00354AB7" w:rsidP="00354AB7">
      <w:pPr>
        <w:jc w:val="both"/>
        <w:rPr>
          <w:rFonts w:ascii="Arial" w:hAnsi="Arial" w:cs="Arial"/>
          <w:color w:val="000000"/>
          <w:sz w:val="23"/>
          <w:szCs w:val="23"/>
        </w:rPr>
      </w:pPr>
      <w:r w:rsidRPr="00354AB7">
        <w:rPr>
          <w:rFonts w:ascii="Arial" w:hAnsi="Arial" w:cs="Arial"/>
          <w:i/>
          <w:iCs/>
          <w:color w:val="000000"/>
          <w:sz w:val="23"/>
          <w:szCs w:val="23"/>
        </w:rPr>
        <w:t>Roma, 30 luglio 2026 –</w:t>
      </w:r>
      <w:r w:rsidRPr="00354AB7">
        <w:rPr>
          <w:rFonts w:ascii="Arial" w:hAnsi="Arial" w:cs="Arial"/>
          <w:color w:val="000000"/>
          <w:sz w:val="23"/>
          <w:szCs w:val="23"/>
        </w:rPr>
        <w:t xml:space="preserve"> Il Comitato pari opportunità dei commercialisti nazionale (CPON) ha pubblicato il documento “</w:t>
      </w:r>
      <w:r w:rsidRPr="00354AB7">
        <w:rPr>
          <w:rFonts w:ascii="Arial" w:hAnsi="Arial" w:cs="Arial"/>
          <w:b/>
          <w:bCs/>
          <w:color w:val="000000"/>
          <w:sz w:val="23"/>
          <w:szCs w:val="23"/>
        </w:rPr>
        <w:t>Analisi del decreto legislativo 7 maggio 2026, n. 96</w:t>
      </w:r>
      <w:r w:rsidRPr="00354AB7">
        <w:rPr>
          <w:rFonts w:ascii="Arial" w:hAnsi="Arial" w:cs="Arial"/>
          <w:color w:val="000000"/>
          <w:sz w:val="23"/>
          <w:szCs w:val="23"/>
        </w:rPr>
        <w:t xml:space="preserve">”, il provvedimento con cui l'Italia ha recepito la </w:t>
      </w:r>
      <w:r w:rsidRPr="00354AB7">
        <w:rPr>
          <w:rFonts w:ascii="Arial" w:hAnsi="Arial" w:cs="Arial"/>
          <w:b/>
          <w:bCs/>
          <w:color w:val="000000"/>
          <w:sz w:val="23"/>
          <w:szCs w:val="23"/>
        </w:rPr>
        <w:t>direttiva (UE) 2023/970</w:t>
      </w:r>
      <w:r w:rsidRPr="00354AB7">
        <w:rPr>
          <w:rFonts w:ascii="Arial" w:hAnsi="Arial" w:cs="Arial"/>
          <w:color w:val="000000"/>
          <w:sz w:val="23"/>
          <w:szCs w:val="23"/>
        </w:rPr>
        <w:t xml:space="preserve"> sulla </w:t>
      </w:r>
      <w:r w:rsidRPr="00354AB7">
        <w:rPr>
          <w:rFonts w:ascii="Arial" w:hAnsi="Arial" w:cs="Arial"/>
          <w:b/>
          <w:bCs/>
          <w:color w:val="000000"/>
          <w:sz w:val="23"/>
          <w:szCs w:val="23"/>
        </w:rPr>
        <w:t>trasparenza retributiva</w:t>
      </w:r>
      <w:r w:rsidRPr="00354AB7">
        <w:rPr>
          <w:rFonts w:ascii="Arial" w:hAnsi="Arial" w:cs="Arial"/>
          <w:color w:val="000000"/>
          <w:sz w:val="23"/>
          <w:szCs w:val="23"/>
        </w:rPr>
        <w:t xml:space="preserve"> e sul rafforzamento del principio della </w:t>
      </w:r>
      <w:r w:rsidRPr="00354AB7">
        <w:rPr>
          <w:rFonts w:ascii="Arial" w:hAnsi="Arial" w:cs="Arial"/>
          <w:b/>
          <w:bCs/>
          <w:color w:val="000000"/>
          <w:sz w:val="23"/>
          <w:szCs w:val="23"/>
        </w:rPr>
        <w:t>parità di retribuzione tra donne e uomini</w:t>
      </w:r>
      <w:r w:rsidRPr="00354AB7">
        <w:rPr>
          <w:rFonts w:ascii="Arial" w:hAnsi="Arial" w:cs="Arial"/>
          <w:color w:val="000000"/>
          <w:sz w:val="23"/>
          <w:szCs w:val="23"/>
        </w:rPr>
        <w:t xml:space="preserve"> per uno stesso lavoro o per un lavoro di pari valore.</w:t>
      </w:r>
    </w:p>
    <w:p w14:paraId="25595371" w14:textId="77777777" w:rsidR="00354AB7" w:rsidRPr="00354AB7" w:rsidRDefault="00354AB7" w:rsidP="00354AB7">
      <w:pPr>
        <w:jc w:val="both"/>
        <w:rPr>
          <w:rFonts w:ascii="Arial" w:hAnsi="Arial" w:cs="Arial"/>
          <w:color w:val="000000"/>
          <w:sz w:val="23"/>
          <w:szCs w:val="23"/>
        </w:rPr>
      </w:pPr>
      <w:r w:rsidRPr="00354AB7">
        <w:rPr>
          <w:rFonts w:ascii="Arial" w:hAnsi="Arial" w:cs="Arial"/>
          <w:color w:val="000000"/>
          <w:sz w:val="23"/>
          <w:szCs w:val="23"/>
        </w:rPr>
        <w:t> </w:t>
      </w:r>
    </w:p>
    <w:p w14:paraId="6EE2E8D8"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Il principio della parità di retribuzione tra donne e uomini costituisce uno dei </w:t>
      </w:r>
      <w:r w:rsidRPr="00354AB7">
        <w:rPr>
          <w:rFonts w:ascii="Arial" w:hAnsi="Arial" w:cs="Arial"/>
          <w:b/>
          <w:bCs/>
          <w:color w:val="000000"/>
          <w:sz w:val="23"/>
          <w:szCs w:val="23"/>
        </w:rPr>
        <w:t>pilastri</w:t>
      </w:r>
      <w:r w:rsidRPr="00354AB7">
        <w:rPr>
          <w:rFonts w:ascii="Arial" w:hAnsi="Arial" w:cs="Arial"/>
          <w:color w:val="000000"/>
          <w:sz w:val="23"/>
          <w:szCs w:val="23"/>
        </w:rPr>
        <w:t xml:space="preserve"> dell'ordinamento europeo e rappresenta una </w:t>
      </w:r>
      <w:r w:rsidRPr="00354AB7">
        <w:rPr>
          <w:rFonts w:ascii="Arial" w:hAnsi="Arial" w:cs="Arial"/>
          <w:b/>
          <w:bCs/>
          <w:color w:val="000000"/>
          <w:sz w:val="23"/>
          <w:szCs w:val="23"/>
        </w:rPr>
        <w:t>condizione imprescindibile</w:t>
      </w:r>
      <w:r w:rsidRPr="00354AB7">
        <w:rPr>
          <w:rFonts w:ascii="Arial" w:hAnsi="Arial" w:cs="Arial"/>
          <w:color w:val="000000"/>
          <w:sz w:val="23"/>
          <w:szCs w:val="23"/>
        </w:rPr>
        <w:t xml:space="preserve"> per la realizzazione di un </w:t>
      </w:r>
      <w:r w:rsidRPr="00354AB7">
        <w:rPr>
          <w:rFonts w:ascii="Arial" w:hAnsi="Arial" w:cs="Arial"/>
          <w:b/>
          <w:bCs/>
          <w:color w:val="000000"/>
          <w:sz w:val="23"/>
          <w:szCs w:val="23"/>
        </w:rPr>
        <w:t>mercato del lavoro</w:t>
      </w:r>
      <w:r w:rsidRPr="00354AB7">
        <w:rPr>
          <w:rFonts w:ascii="Arial" w:hAnsi="Arial" w:cs="Arial"/>
          <w:color w:val="000000"/>
          <w:sz w:val="23"/>
          <w:szCs w:val="23"/>
        </w:rPr>
        <w:t xml:space="preserve"> più equo, inclusivo e competitivo. In tale prospettiva, il decreto segna un passaggio di particolare rilievo nel percorso di attuazione dei principi di trasparenza retributiva, introducendo un </w:t>
      </w:r>
      <w:r w:rsidRPr="00354AB7">
        <w:rPr>
          <w:rFonts w:ascii="Arial" w:hAnsi="Arial" w:cs="Arial"/>
          <w:b/>
          <w:bCs/>
          <w:color w:val="000000"/>
          <w:sz w:val="23"/>
          <w:szCs w:val="23"/>
        </w:rPr>
        <w:t xml:space="preserve">sistema di obblighi e di strumenti </w:t>
      </w:r>
      <w:r w:rsidRPr="00354AB7">
        <w:rPr>
          <w:rFonts w:ascii="Arial" w:hAnsi="Arial" w:cs="Arial"/>
          <w:color w:val="000000"/>
          <w:sz w:val="23"/>
          <w:szCs w:val="23"/>
        </w:rPr>
        <w:t>destinati a incidere profondamente sulle politiche organizzative delle imprese e sui modelli di gestione delle risorse umane.</w:t>
      </w:r>
    </w:p>
    <w:p w14:paraId="0C8B13BC" w14:textId="77777777" w:rsidR="00354AB7" w:rsidRPr="00354AB7" w:rsidRDefault="00354AB7" w:rsidP="00354AB7">
      <w:pPr>
        <w:jc w:val="both"/>
        <w:rPr>
          <w:rFonts w:ascii="Arial" w:hAnsi="Arial" w:cs="Arial"/>
          <w:color w:val="000000"/>
          <w:sz w:val="23"/>
          <w:szCs w:val="23"/>
        </w:rPr>
      </w:pPr>
    </w:p>
    <w:p w14:paraId="120B9BA9"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Le innovazioni introdotte dalla riforma coinvolgono direttamente anche l'attività dei Commercialisti, chiamati ad </w:t>
      </w:r>
      <w:r w:rsidRPr="00354AB7">
        <w:rPr>
          <w:rFonts w:ascii="Arial" w:hAnsi="Arial" w:cs="Arial"/>
          <w:b/>
          <w:bCs/>
          <w:color w:val="000000"/>
          <w:sz w:val="23"/>
          <w:szCs w:val="23"/>
        </w:rPr>
        <w:t>affiancare imprese e organizzazioni</w:t>
      </w:r>
      <w:r w:rsidRPr="00354AB7">
        <w:rPr>
          <w:rFonts w:ascii="Arial" w:hAnsi="Arial" w:cs="Arial"/>
          <w:color w:val="000000"/>
          <w:sz w:val="23"/>
          <w:szCs w:val="23"/>
        </w:rPr>
        <w:t xml:space="preserve"> nell'interpretazione delle nuove disposizioni, nella valutazione dei relativi impatti e nella definizione di assetti organizzativi e processi di compliance coerenti con il nuovo quadro normativo. Ne deriva un </w:t>
      </w:r>
      <w:r w:rsidRPr="00354AB7">
        <w:rPr>
          <w:rFonts w:ascii="Arial" w:hAnsi="Arial" w:cs="Arial"/>
          <w:b/>
          <w:bCs/>
          <w:color w:val="000000"/>
          <w:sz w:val="23"/>
          <w:szCs w:val="23"/>
        </w:rPr>
        <w:t>ampliamento delle competenze</w:t>
      </w:r>
      <w:r w:rsidRPr="00354AB7">
        <w:rPr>
          <w:rFonts w:ascii="Arial" w:hAnsi="Arial" w:cs="Arial"/>
          <w:color w:val="000000"/>
          <w:sz w:val="23"/>
          <w:szCs w:val="23"/>
        </w:rPr>
        <w:t xml:space="preserve"> richieste alla professione, sempre più orientata a fornire un'</w:t>
      </w:r>
      <w:r w:rsidRPr="00354AB7">
        <w:rPr>
          <w:rFonts w:ascii="Arial" w:hAnsi="Arial" w:cs="Arial"/>
          <w:b/>
          <w:bCs/>
          <w:color w:val="000000"/>
          <w:sz w:val="23"/>
          <w:szCs w:val="23"/>
        </w:rPr>
        <w:t>assistenza qualificata</w:t>
      </w:r>
      <w:r w:rsidRPr="00354AB7">
        <w:rPr>
          <w:rFonts w:ascii="Arial" w:hAnsi="Arial" w:cs="Arial"/>
          <w:color w:val="000000"/>
          <w:sz w:val="23"/>
          <w:szCs w:val="23"/>
        </w:rPr>
        <w:t xml:space="preserve"> nelle materie della governance, della sostenibilità e della valorizzazione del capitale umano.</w:t>
      </w:r>
    </w:p>
    <w:p w14:paraId="3ED1DA88" w14:textId="77777777" w:rsidR="00354AB7" w:rsidRPr="00354AB7" w:rsidRDefault="00354AB7" w:rsidP="00354AB7">
      <w:pPr>
        <w:jc w:val="both"/>
        <w:rPr>
          <w:rFonts w:ascii="Arial" w:hAnsi="Arial" w:cs="Arial"/>
          <w:color w:val="000000"/>
          <w:sz w:val="23"/>
          <w:szCs w:val="23"/>
        </w:rPr>
      </w:pPr>
    </w:p>
    <w:p w14:paraId="625F592A"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t>È in questa prospettiva che si colloca il documento che si propone di offrire un'</w:t>
      </w:r>
      <w:r w:rsidRPr="00354AB7">
        <w:rPr>
          <w:rFonts w:ascii="Arial" w:hAnsi="Arial" w:cs="Arial"/>
          <w:b/>
          <w:bCs/>
          <w:color w:val="000000"/>
          <w:sz w:val="23"/>
          <w:szCs w:val="23"/>
        </w:rPr>
        <w:t xml:space="preserve">analisi sistematica </w:t>
      </w:r>
      <w:r w:rsidRPr="00354AB7">
        <w:rPr>
          <w:rFonts w:ascii="Arial" w:hAnsi="Arial" w:cs="Arial"/>
          <w:color w:val="000000"/>
          <w:sz w:val="23"/>
          <w:szCs w:val="23"/>
        </w:rPr>
        <w:t xml:space="preserve">del decreto legislativo, approfondendone i principali </w:t>
      </w:r>
      <w:r w:rsidRPr="00354AB7">
        <w:rPr>
          <w:rFonts w:ascii="Arial" w:hAnsi="Arial" w:cs="Arial"/>
          <w:b/>
          <w:bCs/>
          <w:color w:val="000000"/>
          <w:sz w:val="23"/>
          <w:szCs w:val="23"/>
        </w:rPr>
        <w:t>profili interpretativi e applicativi</w:t>
      </w:r>
      <w:r w:rsidRPr="00354AB7">
        <w:rPr>
          <w:rFonts w:ascii="Arial" w:hAnsi="Arial" w:cs="Arial"/>
          <w:color w:val="000000"/>
          <w:sz w:val="23"/>
          <w:szCs w:val="23"/>
        </w:rPr>
        <w:t xml:space="preserve"> e fornendo ai professionisti uno </w:t>
      </w:r>
      <w:r w:rsidRPr="00354AB7">
        <w:rPr>
          <w:rFonts w:ascii="Arial" w:hAnsi="Arial" w:cs="Arial"/>
          <w:b/>
          <w:bCs/>
          <w:color w:val="000000"/>
          <w:sz w:val="23"/>
          <w:szCs w:val="23"/>
        </w:rPr>
        <w:t>strumento di studio e di supporto operativo</w:t>
      </w:r>
      <w:r w:rsidRPr="00354AB7">
        <w:rPr>
          <w:rFonts w:ascii="Arial" w:hAnsi="Arial" w:cs="Arial"/>
          <w:color w:val="000000"/>
          <w:sz w:val="23"/>
          <w:szCs w:val="23"/>
        </w:rPr>
        <w:t>.</w:t>
      </w:r>
    </w:p>
    <w:p w14:paraId="4A87283B" w14:textId="77777777" w:rsidR="00354AB7" w:rsidRPr="00354AB7" w:rsidRDefault="00354AB7" w:rsidP="00354AB7">
      <w:pPr>
        <w:jc w:val="both"/>
        <w:rPr>
          <w:rFonts w:ascii="Arial" w:hAnsi="Arial" w:cs="Arial"/>
          <w:color w:val="000000"/>
          <w:sz w:val="23"/>
          <w:szCs w:val="23"/>
        </w:rPr>
      </w:pPr>
    </w:p>
    <w:p w14:paraId="7EEC97FD"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“L'auspicio è che questo contributo favorisca una più ampia diffusione della </w:t>
      </w:r>
      <w:r w:rsidRPr="00354AB7">
        <w:rPr>
          <w:rFonts w:ascii="Arial" w:hAnsi="Arial" w:cs="Arial"/>
          <w:b/>
          <w:bCs/>
          <w:color w:val="000000"/>
          <w:sz w:val="23"/>
          <w:szCs w:val="23"/>
        </w:rPr>
        <w:t>cultura della trasparenza e delle pari opportunità</w:t>
      </w:r>
      <w:r w:rsidRPr="00354AB7">
        <w:rPr>
          <w:rFonts w:ascii="Arial" w:hAnsi="Arial" w:cs="Arial"/>
          <w:color w:val="000000"/>
          <w:sz w:val="23"/>
          <w:szCs w:val="23"/>
        </w:rPr>
        <w:t xml:space="preserve">, nella consapevolezza che la riduzione del divario retributivo di genere rappresenta non solo un obiettivo di </w:t>
      </w:r>
      <w:r w:rsidRPr="00354AB7">
        <w:rPr>
          <w:rFonts w:ascii="Arial" w:hAnsi="Arial" w:cs="Arial"/>
          <w:b/>
          <w:bCs/>
          <w:color w:val="000000"/>
          <w:sz w:val="23"/>
          <w:szCs w:val="23"/>
        </w:rPr>
        <w:t>giustizia sociale</w:t>
      </w:r>
      <w:r w:rsidRPr="00354AB7">
        <w:rPr>
          <w:rFonts w:ascii="Arial" w:hAnsi="Arial" w:cs="Arial"/>
          <w:color w:val="000000"/>
          <w:sz w:val="23"/>
          <w:szCs w:val="23"/>
        </w:rPr>
        <w:t xml:space="preserve">, ma anche un fattore determinante di crescita economica, qualità della governance e sviluppo sostenibile”, afferma il presidente del Consiglio nazionale dei commercialisti, </w:t>
      </w:r>
      <w:r w:rsidRPr="00354AB7">
        <w:rPr>
          <w:rFonts w:ascii="Arial" w:hAnsi="Arial" w:cs="Arial"/>
          <w:b/>
          <w:bCs/>
          <w:color w:val="000000"/>
          <w:sz w:val="23"/>
          <w:szCs w:val="23"/>
        </w:rPr>
        <w:t>Elbano de Nuccio</w:t>
      </w:r>
      <w:r w:rsidRPr="00354AB7">
        <w:rPr>
          <w:rFonts w:ascii="Arial" w:hAnsi="Arial" w:cs="Arial"/>
          <w:color w:val="000000"/>
          <w:sz w:val="23"/>
          <w:szCs w:val="23"/>
        </w:rPr>
        <w:t>.</w:t>
      </w:r>
    </w:p>
    <w:p w14:paraId="51DBE1F5" w14:textId="77777777" w:rsidR="00354AB7" w:rsidRPr="00354AB7" w:rsidRDefault="00354AB7" w:rsidP="00354AB7">
      <w:pPr>
        <w:jc w:val="both"/>
        <w:rPr>
          <w:rFonts w:ascii="Arial" w:hAnsi="Arial" w:cs="Arial"/>
          <w:color w:val="000000"/>
          <w:sz w:val="23"/>
          <w:szCs w:val="23"/>
        </w:rPr>
      </w:pPr>
    </w:p>
    <w:p w14:paraId="558FCF27" w14:textId="77777777" w:rsidR="00354AB7" w:rsidRP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“Per il Comitato Pari Opportunità Nazionale – aggiungono le consigliere nazionali delegate alle politiche di genere </w:t>
      </w:r>
      <w:r w:rsidRPr="00354AB7">
        <w:rPr>
          <w:rFonts w:ascii="Arial" w:hAnsi="Arial" w:cs="Arial"/>
          <w:b/>
          <w:bCs/>
          <w:color w:val="000000"/>
          <w:sz w:val="23"/>
          <w:szCs w:val="23"/>
        </w:rPr>
        <w:t>Liliana Smargiassi</w:t>
      </w:r>
      <w:r w:rsidRPr="00354AB7">
        <w:rPr>
          <w:rFonts w:ascii="Arial" w:hAnsi="Arial" w:cs="Arial"/>
          <w:color w:val="000000"/>
          <w:sz w:val="23"/>
          <w:szCs w:val="23"/>
        </w:rPr>
        <w:t xml:space="preserve"> e </w:t>
      </w:r>
      <w:r w:rsidRPr="00354AB7">
        <w:rPr>
          <w:rFonts w:ascii="Arial" w:hAnsi="Arial" w:cs="Arial"/>
          <w:b/>
          <w:bCs/>
          <w:color w:val="000000"/>
          <w:sz w:val="23"/>
          <w:szCs w:val="23"/>
        </w:rPr>
        <w:t>Rosa D’Angiolella</w:t>
      </w:r>
      <w:r w:rsidRPr="00354AB7">
        <w:rPr>
          <w:rFonts w:ascii="Arial" w:hAnsi="Arial" w:cs="Arial"/>
          <w:color w:val="000000"/>
          <w:sz w:val="23"/>
          <w:szCs w:val="23"/>
        </w:rPr>
        <w:t xml:space="preserve"> - il d.lgs. 7 maggio 2026, n. 96 rappresenta un terreno di </w:t>
      </w:r>
      <w:r w:rsidRPr="00354AB7">
        <w:rPr>
          <w:rFonts w:ascii="Arial" w:hAnsi="Arial" w:cs="Arial"/>
          <w:b/>
          <w:bCs/>
          <w:color w:val="000000"/>
          <w:sz w:val="23"/>
          <w:szCs w:val="23"/>
        </w:rPr>
        <w:t>intervento strategico</w:t>
      </w:r>
      <w:r w:rsidRPr="00354AB7">
        <w:rPr>
          <w:rFonts w:ascii="Arial" w:hAnsi="Arial" w:cs="Arial"/>
          <w:color w:val="000000"/>
          <w:sz w:val="23"/>
          <w:szCs w:val="23"/>
        </w:rPr>
        <w:t xml:space="preserve">. Il contributo dei professionisti sarà </w:t>
      </w:r>
      <w:r w:rsidRPr="00354AB7">
        <w:rPr>
          <w:rFonts w:ascii="Arial" w:hAnsi="Arial" w:cs="Arial"/>
          <w:b/>
          <w:bCs/>
          <w:color w:val="000000"/>
          <w:sz w:val="23"/>
          <w:szCs w:val="23"/>
        </w:rPr>
        <w:t>determinante</w:t>
      </w:r>
      <w:r w:rsidRPr="00354AB7">
        <w:rPr>
          <w:rFonts w:ascii="Arial" w:hAnsi="Arial" w:cs="Arial"/>
          <w:color w:val="000000"/>
          <w:sz w:val="23"/>
          <w:szCs w:val="23"/>
        </w:rPr>
        <w:t xml:space="preserve"> per accompagnare le imprese in un percorso che non può essere solo di compliance, ma deve diventare un’occasione di </w:t>
      </w:r>
      <w:r w:rsidRPr="00354AB7">
        <w:rPr>
          <w:rFonts w:ascii="Arial" w:hAnsi="Arial" w:cs="Arial"/>
          <w:b/>
          <w:bCs/>
          <w:color w:val="000000"/>
          <w:sz w:val="23"/>
          <w:szCs w:val="23"/>
        </w:rPr>
        <w:t>crescita organizzativa e culturale</w:t>
      </w:r>
      <w:r w:rsidRPr="00354AB7">
        <w:rPr>
          <w:rFonts w:ascii="Arial" w:hAnsi="Arial" w:cs="Arial"/>
          <w:color w:val="000000"/>
          <w:sz w:val="23"/>
          <w:szCs w:val="23"/>
        </w:rPr>
        <w:t xml:space="preserve">. Il CPON, per il ruolo che gli è proprio, diventa un </w:t>
      </w:r>
      <w:r w:rsidRPr="00354AB7">
        <w:rPr>
          <w:rFonts w:ascii="Arial" w:hAnsi="Arial" w:cs="Arial"/>
          <w:b/>
          <w:bCs/>
          <w:color w:val="000000"/>
          <w:sz w:val="23"/>
          <w:szCs w:val="23"/>
        </w:rPr>
        <w:t>osservatorio qualificato</w:t>
      </w:r>
      <w:r w:rsidRPr="00354AB7">
        <w:rPr>
          <w:rFonts w:ascii="Arial" w:hAnsi="Arial" w:cs="Arial"/>
          <w:color w:val="000000"/>
          <w:sz w:val="23"/>
          <w:szCs w:val="23"/>
        </w:rPr>
        <w:t xml:space="preserve"> che, rispetto alla tematica, deve promuovere modelli organizzativi più </w:t>
      </w:r>
      <w:r w:rsidRPr="00354AB7">
        <w:rPr>
          <w:rFonts w:ascii="Arial" w:hAnsi="Arial" w:cs="Arial"/>
          <w:b/>
          <w:bCs/>
          <w:color w:val="000000"/>
          <w:sz w:val="23"/>
          <w:szCs w:val="23"/>
        </w:rPr>
        <w:t>inclusivi</w:t>
      </w:r>
      <w:r w:rsidRPr="00354AB7">
        <w:rPr>
          <w:rFonts w:ascii="Arial" w:hAnsi="Arial" w:cs="Arial"/>
          <w:color w:val="000000"/>
          <w:sz w:val="23"/>
          <w:szCs w:val="23"/>
        </w:rPr>
        <w:t xml:space="preserve">, criteri retributivi più </w:t>
      </w:r>
      <w:r w:rsidRPr="00354AB7">
        <w:rPr>
          <w:rFonts w:ascii="Arial" w:hAnsi="Arial" w:cs="Arial"/>
          <w:b/>
          <w:bCs/>
          <w:color w:val="000000"/>
          <w:sz w:val="23"/>
          <w:szCs w:val="23"/>
        </w:rPr>
        <w:t xml:space="preserve">oggettivi </w:t>
      </w:r>
      <w:r w:rsidRPr="00354AB7">
        <w:rPr>
          <w:rFonts w:ascii="Arial" w:hAnsi="Arial" w:cs="Arial"/>
          <w:color w:val="000000"/>
          <w:sz w:val="23"/>
          <w:szCs w:val="23"/>
        </w:rPr>
        <w:t xml:space="preserve">e percorsi di carriera effettivamente </w:t>
      </w:r>
      <w:r w:rsidRPr="00354AB7">
        <w:rPr>
          <w:rFonts w:ascii="Arial" w:hAnsi="Arial" w:cs="Arial"/>
          <w:b/>
          <w:bCs/>
          <w:color w:val="000000"/>
          <w:sz w:val="23"/>
          <w:szCs w:val="23"/>
        </w:rPr>
        <w:t>aperti al merito</w:t>
      </w:r>
      <w:r w:rsidRPr="00354AB7">
        <w:rPr>
          <w:rFonts w:ascii="Arial" w:hAnsi="Arial" w:cs="Arial"/>
          <w:color w:val="000000"/>
          <w:sz w:val="23"/>
          <w:szCs w:val="23"/>
        </w:rPr>
        <w:t>, indipendentemente dal genere”.</w:t>
      </w:r>
    </w:p>
    <w:p w14:paraId="090AE9F5"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lastRenderedPageBreak/>
        <w:t xml:space="preserve">In quest’ottica, il Comitato avanza </w:t>
      </w:r>
      <w:r w:rsidRPr="00354AB7">
        <w:rPr>
          <w:rFonts w:ascii="Arial" w:hAnsi="Arial" w:cs="Arial"/>
          <w:b/>
          <w:bCs/>
          <w:color w:val="000000"/>
          <w:sz w:val="23"/>
          <w:szCs w:val="23"/>
        </w:rPr>
        <w:t>alcune proposte</w:t>
      </w:r>
      <w:r w:rsidRPr="00354AB7">
        <w:rPr>
          <w:rFonts w:ascii="Arial" w:hAnsi="Arial" w:cs="Arial"/>
          <w:color w:val="000000"/>
          <w:sz w:val="23"/>
          <w:szCs w:val="23"/>
        </w:rPr>
        <w:t xml:space="preserve">: dalla promozione di </w:t>
      </w:r>
      <w:r w:rsidRPr="00354AB7">
        <w:rPr>
          <w:rFonts w:ascii="Arial" w:hAnsi="Arial" w:cs="Arial"/>
          <w:b/>
          <w:bCs/>
          <w:color w:val="000000"/>
          <w:sz w:val="23"/>
          <w:szCs w:val="23"/>
        </w:rPr>
        <w:t>linee guida operative</w:t>
      </w:r>
      <w:r w:rsidRPr="00354AB7">
        <w:rPr>
          <w:rFonts w:ascii="Arial" w:hAnsi="Arial" w:cs="Arial"/>
          <w:color w:val="000000"/>
          <w:sz w:val="23"/>
          <w:szCs w:val="23"/>
        </w:rPr>
        <w:t xml:space="preserve"> chiare, alla previsione di </w:t>
      </w:r>
      <w:r w:rsidRPr="00354AB7">
        <w:rPr>
          <w:rFonts w:ascii="Arial" w:hAnsi="Arial" w:cs="Arial"/>
          <w:b/>
          <w:bCs/>
          <w:color w:val="000000"/>
          <w:sz w:val="23"/>
          <w:szCs w:val="23"/>
        </w:rPr>
        <w:t>semplificazioni per le realtà di minori dimensioni</w:t>
      </w:r>
      <w:r w:rsidRPr="00354AB7">
        <w:rPr>
          <w:rFonts w:ascii="Arial" w:hAnsi="Arial" w:cs="Arial"/>
          <w:color w:val="000000"/>
          <w:sz w:val="23"/>
          <w:szCs w:val="23"/>
        </w:rPr>
        <w:t xml:space="preserve">; dalla valorizzazione del </w:t>
      </w:r>
      <w:r w:rsidRPr="00354AB7">
        <w:rPr>
          <w:rFonts w:ascii="Arial" w:hAnsi="Arial" w:cs="Arial"/>
          <w:b/>
          <w:bCs/>
          <w:color w:val="000000"/>
          <w:sz w:val="23"/>
          <w:szCs w:val="23"/>
        </w:rPr>
        <w:t>ruolo dei commercialisti</w:t>
      </w:r>
      <w:r w:rsidRPr="00354AB7">
        <w:rPr>
          <w:rFonts w:ascii="Arial" w:hAnsi="Arial" w:cs="Arial"/>
          <w:color w:val="000000"/>
          <w:sz w:val="23"/>
          <w:szCs w:val="23"/>
        </w:rPr>
        <w:t xml:space="preserve"> come facilitatori del cambiamento, alla integrazione della trasparenza retributiva con politiche più ampie di </w:t>
      </w:r>
      <w:r w:rsidRPr="00354AB7">
        <w:rPr>
          <w:rFonts w:ascii="Arial" w:hAnsi="Arial" w:cs="Arial"/>
          <w:b/>
          <w:bCs/>
          <w:color w:val="000000"/>
          <w:sz w:val="23"/>
          <w:szCs w:val="23"/>
        </w:rPr>
        <w:t>contrasto alla violenza economica</w:t>
      </w:r>
      <w:r w:rsidRPr="00354AB7">
        <w:rPr>
          <w:rFonts w:ascii="Arial" w:hAnsi="Arial" w:cs="Arial"/>
          <w:color w:val="000000"/>
          <w:sz w:val="23"/>
          <w:szCs w:val="23"/>
        </w:rPr>
        <w:t xml:space="preserve">. Per i commercialisti è importante anche incentivare l’utilizzo di </w:t>
      </w:r>
      <w:r w:rsidRPr="00354AB7">
        <w:rPr>
          <w:rFonts w:ascii="Arial" w:hAnsi="Arial" w:cs="Arial"/>
          <w:b/>
          <w:bCs/>
          <w:color w:val="000000"/>
          <w:sz w:val="23"/>
          <w:szCs w:val="23"/>
        </w:rPr>
        <w:t xml:space="preserve">bilanci ESG </w:t>
      </w:r>
      <w:r w:rsidRPr="00354AB7">
        <w:rPr>
          <w:rFonts w:ascii="Arial" w:hAnsi="Arial" w:cs="Arial"/>
          <w:color w:val="000000"/>
          <w:sz w:val="23"/>
          <w:szCs w:val="23"/>
        </w:rPr>
        <w:t xml:space="preserve">nella realtà professionale, affinché l’equità retributiva diventi un </w:t>
      </w:r>
      <w:r w:rsidRPr="00354AB7">
        <w:rPr>
          <w:rFonts w:ascii="Arial" w:hAnsi="Arial" w:cs="Arial"/>
          <w:b/>
          <w:bCs/>
          <w:color w:val="000000"/>
          <w:sz w:val="23"/>
          <w:szCs w:val="23"/>
        </w:rPr>
        <w:t>indicatore concreto</w:t>
      </w:r>
      <w:r w:rsidRPr="00354AB7">
        <w:rPr>
          <w:rFonts w:ascii="Arial" w:hAnsi="Arial" w:cs="Arial"/>
          <w:color w:val="000000"/>
          <w:sz w:val="23"/>
          <w:szCs w:val="23"/>
        </w:rPr>
        <w:t xml:space="preserve"> della maturità etica e gestionale di una impresa, e </w:t>
      </w:r>
      <w:r w:rsidRPr="00354AB7">
        <w:rPr>
          <w:rFonts w:ascii="Arial" w:hAnsi="Arial" w:cs="Arial"/>
          <w:b/>
          <w:bCs/>
          <w:color w:val="000000"/>
          <w:sz w:val="23"/>
          <w:szCs w:val="23"/>
        </w:rPr>
        <w:t>uniformare i metodi di calcolo</w:t>
      </w:r>
      <w:r w:rsidRPr="00354AB7">
        <w:rPr>
          <w:rFonts w:ascii="Arial" w:hAnsi="Arial" w:cs="Arial"/>
          <w:color w:val="000000"/>
          <w:sz w:val="23"/>
          <w:szCs w:val="23"/>
        </w:rPr>
        <w:t xml:space="preserve"> di tutti i documenti fin qui analizzati in un’ottica di semplificazione.</w:t>
      </w:r>
    </w:p>
    <w:p w14:paraId="54ECBF7F" w14:textId="77777777" w:rsidR="00354AB7" w:rsidRPr="00354AB7" w:rsidRDefault="00354AB7" w:rsidP="00354AB7">
      <w:pPr>
        <w:jc w:val="both"/>
        <w:rPr>
          <w:rFonts w:ascii="Arial" w:hAnsi="Arial" w:cs="Arial"/>
          <w:color w:val="000000"/>
          <w:sz w:val="23"/>
          <w:szCs w:val="23"/>
        </w:rPr>
      </w:pPr>
    </w:p>
    <w:p w14:paraId="02BE06DE" w14:textId="77777777" w:rsid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In particolare, il Comitato propone di uniformare il metodo di calcolo dei dati retributivi richiesti dal decreto con quelli previsti per il rapporto biennale, la </w:t>
      </w:r>
      <w:r w:rsidRPr="00354AB7">
        <w:rPr>
          <w:rFonts w:ascii="Arial" w:hAnsi="Arial" w:cs="Arial"/>
          <w:b/>
          <w:bCs/>
          <w:color w:val="000000"/>
          <w:sz w:val="23"/>
          <w:szCs w:val="23"/>
        </w:rPr>
        <w:t>UNI/</w:t>
      </w:r>
      <w:proofErr w:type="spellStart"/>
      <w:r w:rsidRPr="00354AB7">
        <w:rPr>
          <w:rFonts w:ascii="Arial" w:hAnsi="Arial" w:cs="Arial"/>
          <w:b/>
          <w:bCs/>
          <w:color w:val="000000"/>
          <w:sz w:val="23"/>
          <w:szCs w:val="23"/>
        </w:rPr>
        <w:t>PdR</w:t>
      </w:r>
      <w:proofErr w:type="spellEnd"/>
      <w:r w:rsidRPr="00354AB7">
        <w:rPr>
          <w:rFonts w:ascii="Arial" w:hAnsi="Arial" w:cs="Arial"/>
          <w:b/>
          <w:bCs/>
          <w:color w:val="000000"/>
          <w:sz w:val="23"/>
          <w:szCs w:val="23"/>
        </w:rPr>
        <w:t xml:space="preserve"> 125 (certificazione di genere)</w:t>
      </w:r>
      <w:r w:rsidRPr="00354AB7">
        <w:rPr>
          <w:rFonts w:ascii="Arial" w:hAnsi="Arial" w:cs="Arial"/>
          <w:color w:val="000000"/>
          <w:sz w:val="23"/>
          <w:szCs w:val="23"/>
        </w:rPr>
        <w:t>, la comunicazione degli stessi alle Consigliere di parità regionali e il bilancio ESG.</w:t>
      </w:r>
    </w:p>
    <w:p w14:paraId="2B5C621C" w14:textId="77777777" w:rsidR="00354AB7" w:rsidRPr="00354AB7" w:rsidRDefault="00354AB7" w:rsidP="00354AB7">
      <w:pPr>
        <w:jc w:val="both"/>
        <w:rPr>
          <w:rFonts w:ascii="Arial" w:hAnsi="Arial" w:cs="Arial"/>
          <w:color w:val="000000"/>
          <w:sz w:val="23"/>
          <w:szCs w:val="23"/>
        </w:rPr>
      </w:pPr>
    </w:p>
    <w:p w14:paraId="4F1A223A" w14:textId="77777777" w:rsidR="00354AB7" w:rsidRPr="00354AB7" w:rsidRDefault="00354AB7" w:rsidP="00354AB7">
      <w:pPr>
        <w:jc w:val="both"/>
        <w:rPr>
          <w:rFonts w:ascii="Arial" w:hAnsi="Arial" w:cs="Arial"/>
          <w:color w:val="000000"/>
          <w:sz w:val="23"/>
          <w:szCs w:val="23"/>
        </w:rPr>
      </w:pPr>
      <w:r w:rsidRPr="00354AB7">
        <w:rPr>
          <w:rFonts w:ascii="Arial" w:hAnsi="Arial" w:cs="Arial"/>
          <w:color w:val="000000"/>
          <w:sz w:val="23"/>
          <w:szCs w:val="23"/>
        </w:rPr>
        <w:t xml:space="preserve">L’obiettivo è quello di consentire alle organizzazioni di adottare un unico metodo di calcolo, </w:t>
      </w:r>
      <w:r w:rsidRPr="00354AB7">
        <w:rPr>
          <w:rFonts w:ascii="Arial" w:hAnsi="Arial" w:cs="Arial"/>
          <w:b/>
          <w:bCs/>
          <w:color w:val="000000"/>
          <w:sz w:val="23"/>
          <w:szCs w:val="23"/>
        </w:rPr>
        <w:t>riconosciuto e valido ai fini normativi</w:t>
      </w:r>
      <w:r w:rsidRPr="00354AB7">
        <w:rPr>
          <w:rFonts w:ascii="Arial" w:hAnsi="Arial" w:cs="Arial"/>
          <w:color w:val="000000"/>
          <w:sz w:val="23"/>
          <w:szCs w:val="23"/>
        </w:rPr>
        <w:t>, applicabile in diversi ambiti, evitando così la necessità di elaborare gli stessi dati secondo modalità differenti per documenti differenti. In questa prospettiva, resterebbe comunque ferma la facoltà per le singole organizzazioni di avvalersi di metodi di calcolo alternativi, già previsti dalla normativa e dalla documentazione esistente. Tuttavia, secondo il CPON tale possibilità deve configurarsi come un’opzione e non come un obbligo.</w:t>
      </w:r>
    </w:p>
    <w:p w14:paraId="65E1BEDA" w14:textId="77777777" w:rsidR="000401A3" w:rsidRDefault="000401A3" w:rsidP="009B7BAE">
      <w:pPr>
        <w:jc w:val="both"/>
        <w:rPr>
          <w:rFonts w:ascii="Arial" w:hAnsi="Arial" w:cs="Arial"/>
          <w:shd w:val="clear" w:color="auto" w:fill="FFFFFF"/>
        </w:rPr>
      </w:pPr>
    </w:p>
    <w:sectPr w:rsidR="000401A3"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2DB8" w14:textId="77777777" w:rsidR="00334975" w:rsidRDefault="00334975" w:rsidP="00627996">
      <w:r>
        <w:separator/>
      </w:r>
    </w:p>
  </w:endnote>
  <w:endnote w:type="continuationSeparator" w:id="0">
    <w:p w14:paraId="1916FED2" w14:textId="77777777" w:rsidR="00334975" w:rsidRDefault="00334975"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8B9E" w14:textId="77777777" w:rsidR="00334975" w:rsidRDefault="00334975" w:rsidP="00627996">
      <w:r>
        <w:separator/>
      </w:r>
    </w:p>
  </w:footnote>
  <w:footnote w:type="continuationSeparator" w:id="0">
    <w:p w14:paraId="40AB4711" w14:textId="77777777" w:rsidR="00334975" w:rsidRDefault="00334975"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E572" w14:textId="7D0F66C7" w:rsidR="00627996" w:rsidRDefault="005E65D3" w:rsidP="005E65D3">
    <w:pPr>
      <w:pStyle w:val="Intestazione"/>
      <w:jc w:val="center"/>
    </w:pPr>
    <w:r>
      <w:rPr>
        <w:noProof/>
      </w:rPr>
      <w:drawing>
        <wp:inline distT="0" distB="0" distL="0" distR="0" wp14:anchorId="52E6E01F" wp14:editId="7E30DA9A">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401A3"/>
    <w:rsid w:val="00044DAE"/>
    <w:rsid w:val="00065EFA"/>
    <w:rsid w:val="000D4341"/>
    <w:rsid w:val="000F2092"/>
    <w:rsid w:val="00103A6A"/>
    <w:rsid w:val="0012750F"/>
    <w:rsid w:val="001777C2"/>
    <w:rsid w:val="00184319"/>
    <w:rsid w:val="001B3759"/>
    <w:rsid w:val="001C217E"/>
    <w:rsid w:val="001C3CCF"/>
    <w:rsid w:val="001D0C92"/>
    <w:rsid w:val="001D448A"/>
    <w:rsid w:val="001F77AC"/>
    <w:rsid w:val="00206248"/>
    <w:rsid w:val="00210D0F"/>
    <w:rsid w:val="00237BEE"/>
    <w:rsid w:val="002B1170"/>
    <w:rsid w:val="002B1507"/>
    <w:rsid w:val="002E31F2"/>
    <w:rsid w:val="002E6CF5"/>
    <w:rsid w:val="002F20F5"/>
    <w:rsid w:val="00304BDD"/>
    <w:rsid w:val="0031750A"/>
    <w:rsid w:val="003248FA"/>
    <w:rsid w:val="00334975"/>
    <w:rsid w:val="003367D1"/>
    <w:rsid w:val="00342616"/>
    <w:rsid w:val="00354AB7"/>
    <w:rsid w:val="00365A9B"/>
    <w:rsid w:val="003C2FC0"/>
    <w:rsid w:val="003D617D"/>
    <w:rsid w:val="003E0594"/>
    <w:rsid w:val="003E48C9"/>
    <w:rsid w:val="00433438"/>
    <w:rsid w:val="00475BF8"/>
    <w:rsid w:val="00485C68"/>
    <w:rsid w:val="004E7923"/>
    <w:rsid w:val="0056619E"/>
    <w:rsid w:val="00595991"/>
    <w:rsid w:val="005B29DF"/>
    <w:rsid w:val="005B7271"/>
    <w:rsid w:val="005E3EDE"/>
    <w:rsid w:val="005E65D3"/>
    <w:rsid w:val="005F6394"/>
    <w:rsid w:val="00612609"/>
    <w:rsid w:val="00627996"/>
    <w:rsid w:val="00656CC5"/>
    <w:rsid w:val="00667303"/>
    <w:rsid w:val="00677185"/>
    <w:rsid w:val="0071223C"/>
    <w:rsid w:val="00734687"/>
    <w:rsid w:val="007478E3"/>
    <w:rsid w:val="00760D47"/>
    <w:rsid w:val="00781D06"/>
    <w:rsid w:val="00787DC5"/>
    <w:rsid w:val="00795430"/>
    <w:rsid w:val="007A2070"/>
    <w:rsid w:val="008C2079"/>
    <w:rsid w:val="008D2C7A"/>
    <w:rsid w:val="00961FDD"/>
    <w:rsid w:val="00986D90"/>
    <w:rsid w:val="009A3D78"/>
    <w:rsid w:val="009B7BAE"/>
    <w:rsid w:val="009D1104"/>
    <w:rsid w:val="009F0F28"/>
    <w:rsid w:val="009F27EC"/>
    <w:rsid w:val="00A00101"/>
    <w:rsid w:val="00AA6686"/>
    <w:rsid w:val="00AB18C8"/>
    <w:rsid w:val="00AC6BB0"/>
    <w:rsid w:val="00AE2556"/>
    <w:rsid w:val="00AF7741"/>
    <w:rsid w:val="00B70B11"/>
    <w:rsid w:val="00BD4233"/>
    <w:rsid w:val="00C32042"/>
    <w:rsid w:val="00C95C0A"/>
    <w:rsid w:val="00CB75EA"/>
    <w:rsid w:val="00CD5A5F"/>
    <w:rsid w:val="00CE681E"/>
    <w:rsid w:val="00CF0179"/>
    <w:rsid w:val="00CF0355"/>
    <w:rsid w:val="00D0285A"/>
    <w:rsid w:val="00D31166"/>
    <w:rsid w:val="00D41E98"/>
    <w:rsid w:val="00D80FF8"/>
    <w:rsid w:val="00DB4B99"/>
    <w:rsid w:val="00E00239"/>
    <w:rsid w:val="00E26A59"/>
    <w:rsid w:val="00E36853"/>
    <w:rsid w:val="00E936C4"/>
    <w:rsid w:val="00EC7268"/>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 w:type="paragraph" w:customStyle="1" w:styleId="paragraph">
    <w:name w:val="paragraph"/>
    <w:basedOn w:val="Normale"/>
    <w:rsid w:val="000D4341"/>
    <w:rPr>
      <w:rFonts w:ascii="Calibri" w:hAnsi="Calibri" w:cs="Calibri"/>
      <w:sz w:val="22"/>
      <w:szCs w:val="22"/>
      <w:lang w:eastAsia="it-IT"/>
    </w:rPr>
  </w:style>
  <w:style w:type="character" w:customStyle="1" w:styleId="normaltextrun">
    <w:name w:val="normaltextrun"/>
    <w:basedOn w:val="Carpredefinitoparagrafo"/>
    <w:rsid w:val="000D4341"/>
  </w:style>
  <w:style w:type="character" w:customStyle="1" w:styleId="eop">
    <w:name w:val="eop"/>
    <w:basedOn w:val="Carpredefinitoparagrafo"/>
    <w:rsid w:val="000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362753151">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44787982">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406756494">
      <w:bodyDiv w:val="1"/>
      <w:marLeft w:val="0"/>
      <w:marRight w:val="0"/>
      <w:marTop w:val="0"/>
      <w:marBottom w:val="0"/>
      <w:divBdr>
        <w:top w:val="none" w:sz="0" w:space="0" w:color="auto"/>
        <w:left w:val="none" w:sz="0" w:space="0" w:color="auto"/>
        <w:bottom w:val="none" w:sz="0" w:space="0" w:color="auto"/>
        <w:right w:val="none" w:sz="0" w:space="0" w:color="auto"/>
      </w:divBdr>
    </w:div>
    <w:div w:id="1690446464">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1928423401">
      <w:bodyDiv w:val="1"/>
      <w:marLeft w:val="0"/>
      <w:marRight w:val="0"/>
      <w:marTop w:val="0"/>
      <w:marBottom w:val="0"/>
      <w:divBdr>
        <w:top w:val="none" w:sz="0" w:space="0" w:color="auto"/>
        <w:left w:val="none" w:sz="0" w:space="0" w:color="auto"/>
        <w:bottom w:val="none" w:sz="0" w:space="0" w:color="auto"/>
        <w:right w:val="none" w:sz="0" w:space="0" w:color="auto"/>
      </w:divBdr>
    </w:div>
    <w:div w:id="197960873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4127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3</cp:revision>
  <cp:lastPrinted>2026-07-30T08:49:00Z</cp:lastPrinted>
  <dcterms:created xsi:type="dcterms:W3CDTF">2026-07-30T10:36:00Z</dcterms:created>
  <dcterms:modified xsi:type="dcterms:W3CDTF">2026-07-30T10:37:00Z</dcterms:modified>
</cp:coreProperties>
</file>