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4298B" w14:textId="6248602B" w:rsidR="00A06F8E" w:rsidRPr="008D45A5" w:rsidRDefault="00A06F8E" w:rsidP="002A2893">
      <w:pPr>
        <w:pStyle w:val="xmsonormal0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</w:p>
    <w:p w14:paraId="54E1C8D5" w14:textId="79606A8E" w:rsidR="0084153D" w:rsidRDefault="009171BF" w:rsidP="002A2893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u w:val="single"/>
          <w:lang w:eastAsia="it-IT"/>
        </w:rPr>
      </w:pPr>
      <w:r w:rsidRPr="002A2893">
        <w:rPr>
          <w:rFonts w:ascii="Arial" w:eastAsia="Times New Roman" w:hAnsi="Arial" w:cs="Arial"/>
          <w:b/>
          <w:bCs/>
          <w:kern w:val="36"/>
          <w:sz w:val="24"/>
          <w:szCs w:val="24"/>
          <w:u w:val="single"/>
          <w:lang w:eastAsia="it-IT"/>
        </w:rPr>
        <w:t>C</w:t>
      </w:r>
      <w:r w:rsidR="002A2893" w:rsidRPr="002A2893">
        <w:rPr>
          <w:rFonts w:ascii="Arial" w:eastAsia="Times New Roman" w:hAnsi="Arial" w:cs="Arial"/>
          <w:b/>
          <w:bCs/>
          <w:kern w:val="36"/>
          <w:sz w:val="24"/>
          <w:szCs w:val="24"/>
          <w:u w:val="single"/>
          <w:lang w:eastAsia="it-IT"/>
        </w:rPr>
        <w:t>omunicato stampa</w:t>
      </w:r>
    </w:p>
    <w:p w14:paraId="0E6564AD" w14:textId="77777777" w:rsidR="002A2893" w:rsidRPr="002A2893" w:rsidRDefault="002A2893" w:rsidP="002A2893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u w:val="single"/>
          <w:lang w:eastAsia="it-IT"/>
        </w:rPr>
      </w:pPr>
    </w:p>
    <w:p w14:paraId="4E7F01B6" w14:textId="40C4B485" w:rsidR="0084153D" w:rsidRDefault="0084153D" w:rsidP="002A2893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it-IT"/>
        </w:rPr>
        <w:t>PATTO DI FAMIGLIA, DAI COMMERCIALISTI UN DOCUMENTO A 20 ANNI DALLA SUA INTRODUZIONE</w:t>
      </w:r>
    </w:p>
    <w:p w14:paraId="785C654E" w14:textId="77777777" w:rsidR="002A2893" w:rsidRDefault="002A2893" w:rsidP="002A2893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it-IT"/>
        </w:rPr>
      </w:pPr>
    </w:p>
    <w:p w14:paraId="7451EA15" w14:textId="6D2C43BA" w:rsidR="0084153D" w:rsidRDefault="0084153D" w:rsidP="002A289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4153D">
        <w:rPr>
          <w:rFonts w:ascii="Arial" w:eastAsia="Times New Roman" w:hAnsi="Arial" w:cs="Arial"/>
          <w:b/>
          <w:bCs/>
          <w:kern w:val="36"/>
          <w:sz w:val="24"/>
          <w:szCs w:val="24"/>
          <w:lang w:eastAsia="it-IT"/>
        </w:rPr>
        <w:t xml:space="preserve">Studio </w:t>
      </w: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it-IT"/>
        </w:rPr>
        <w:t>del Consiglio e della Fondazione nazionali della categoria</w:t>
      </w:r>
      <w:r w:rsidRPr="0084153D">
        <w:rPr>
          <w:rFonts w:ascii="Arial" w:eastAsia="Times New Roman" w:hAnsi="Arial" w:cs="Arial"/>
          <w:b/>
          <w:bCs/>
          <w:kern w:val="36"/>
          <w:sz w:val="24"/>
          <w:szCs w:val="24"/>
          <w:lang w:eastAsia="it-IT"/>
        </w:rPr>
        <w:t xml:space="preserve"> sullo </w:t>
      </w:r>
      <w:r w:rsidRPr="0084153D">
        <w:rPr>
          <w:rFonts w:ascii="Arial" w:hAnsi="Arial" w:cs="Arial"/>
          <w:b/>
          <w:bCs/>
          <w:sz w:val="24"/>
          <w:szCs w:val="24"/>
        </w:rPr>
        <w:t>strumento d’elezione per il passaggio generazionale, a condizione che la redazione delle clausole sia sorretta da rigorosa perizia e competenza tecnica</w:t>
      </w:r>
    </w:p>
    <w:p w14:paraId="563526C9" w14:textId="77777777" w:rsidR="0084153D" w:rsidRPr="0084153D" w:rsidRDefault="0084153D" w:rsidP="002A2893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6D40236" w14:textId="2451DD53" w:rsidR="002D1F4B" w:rsidRDefault="002D1F4B" w:rsidP="002A2893">
      <w:pPr>
        <w:jc w:val="both"/>
        <w:rPr>
          <w:rFonts w:ascii="Arial" w:hAnsi="Arial" w:cs="Arial"/>
          <w:sz w:val="24"/>
          <w:szCs w:val="24"/>
        </w:rPr>
      </w:pPr>
      <w:r w:rsidRPr="002D1F4B">
        <w:rPr>
          <w:rFonts w:ascii="Arial" w:hAnsi="Arial" w:cs="Arial"/>
          <w:i/>
          <w:iCs/>
          <w:sz w:val="24"/>
          <w:szCs w:val="24"/>
        </w:rPr>
        <w:t>Roma, 27 luglio 2026 –</w:t>
      </w:r>
      <w:r>
        <w:rPr>
          <w:rFonts w:ascii="Arial" w:hAnsi="Arial" w:cs="Arial"/>
          <w:sz w:val="24"/>
          <w:szCs w:val="24"/>
        </w:rPr>
        <w:t xml:space="preserve"> “</w:t>
      </w:r>
      <w:r w:rsidRPr="002D1F4B">
        <w:rPr>
          <w:rFonts w:ascii="Arial" w:hAnsi="Arial" w:cs="Arial"/>
          <w:b/>
          <w:bCs/>
          <w:sz w:val="24"/>
          <w:szCs w:val="24"/>
        </w:rPr>
        <w:t>Il Patto di famiglia a vent’anni dalla riforma</w:t>
      </w:r>
      <w:r>
        <w:rPr>
          <w:rFonts w:ascii="Arial" w:hAnsi="Arial" w:cs="Arial"/>
          <w:sz w:val="24"/>
          <w:szCs w:val="24"/>
        </w:rPr>
        <w:t xml:space="preserve">” è il titolo del documento pubblicato oggi dal Consiglio e dalla Fondazione nazionali dei commercialisti. Il documento rientra tra le attività delle aree “Fiscalità” e “Diritto societario”, alle quali sono delegati il Vicepresidente del Consiglio nazionale </w:t>
      </w:r>
      <w:r w:rsidRPr="002D1F4B">
        <w:rPr>
          <w:rFonts w:ascii="Arial" w:hAnsi="Arial" w:cs="Arial"/>
          <w:b/>
          <w:bCs/>
          <w:sz w:val="24"/>
          <w:szCs w:val="24"/>
        </w:rPr>
        <w:t>Vincenzo Moretta</w:t>
      </w:r>
      <w:r>
        <w:rPr>
          <w:rFonts w:ascii="Arial" w:hAnsi="Arial" w:cs="Arial"/>
          <w:sz w:val="24"/>
          <w:szCs w:val="24"/>
        </w:rPr>
        <w:t xml:space="preserve">, il Consigliere nazionale tesoriere </w:t>
      </w:r>
      <w:r w:rsidRPr="002D1F4B">
        <w:rPr>
          <w:rFonts w:ascii="Arial" w:hAnsi="Arial" w:cs="Arial"/>
          <w:b/>
          <w:bCs/>
          <w:sz w:val="24"/>
          <w:szCs w:val="24"/>
        </w:rPr>
        <w:t>David Moro</w:t>
      </w:r>
      <w:r>
        <w:rPr>
          <w:rFonts w:ascii="Arial" w:hAnsi="Arial" w:cs="Arial"/>
          <w:sz w:val="24"/>
          <w:szCs w:val="24"/>
        </w:rPr>
        <w:t xml:space="preserve"> e la </w:t>
      </w:r>
      <w:r w:rsidR="0086653D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onsigliera nazionale </w:t>
      </w:r>
      <w:r w:rsidRPr="002D1F4B">
        <w:rPr>
          <w:rFonts w:ascii="Arial" w:hAnsi="Arial" w:cs="Arial"/>
          <w:b/>
          <w:bCs/>
          <w:sz w:val="24"/>
          <w:szCs w:val="24"/>
        </w:rPr>
        <w:t>Gabriela Savigni</w:t>
      </w:r>
      <w:r>
        <w:rPr>
          <w:rFonts w:ascii="Arial" w:hAnsi="Arial" w:cs="Arial"/>
          <w:sz w:val="24"/>
          <w:szCs w:val="24"/>
        </w:rPr>
        <w:t>.</w:t>
      </w:r>
    </w:p>
    <w:p w14:paraId="2CCC1A1C" w14:textId="77777777" w:rsidR="002A2893" w:rsidRDefault="002A2893" w:rsidP="002A2893">
      <w:pPr>
        <w:jc w:val="both"/>
        <w:rPr>
          <w:rFonts w:ascii="Arial" w:hAnsi="Arial" w:cs="Arial"/>
          <w:sz w:val="24"/>
          <w:szCs w:val="24"/>
        </w:rPr>
      </w:pPr>
    </w:p>
    <w:p w14:paraId="4FE35905" w14:textId="683D260F" w:rsidR="002D1F4B" w:rsidRDefault="002D1F4B" w:rsidP="002A2893">
      <w:pPr>
        <w:jc w:val="both"/>
        <w:rPr>
          <w:rFonts w:ascii="Arial" w:hAnsi="Arial" w:cs="Arial"/>
          <w:sz w:val="24"/>
          <w:szCs w:val="24"/>
        </w:rPr>
      </w:pPr>
      <w:r w:rsidRPr="002D1F4B">
        <w:rPr>
          <w:rFonts w:ascii="Arial" w:hAnsi="Arial" w:cs="Arial"/>
          <w:sz w:val="24"/>
          <w:szCs w:val="24"/>
        </w:rPr>
        <w:t xml:space="preserve">A vent’anni dall’introduzione nel nostro ordinamento del Patto di famiglia, </w:t>
      </w:r>
      <w:r w:rsidR="0084153D">
        <w:rPr>
          <w:rFonts w:ascii="Arial" w:hAnsi="Arial" w:cs="Arial"/>
          <w:sz w:val="24"/>
          <w:szCs w:val="24"/>
        </w:rPr>
        <w:t xml:space="preserve">i commercialisti </w:t>
      </w:r>
      <w:r w:rsidRPr="002D1F4B">
        <w:rPr>
          <w:rFonts w:ascii="Arial" w:hAnsi="Arial" w:cs="Arial"/>
          <w:sz w:val="24"/>
          <w:szCs w:val="24"/>
        </w:rPr>
        <w:t xml:space="preserve">si </w:t>
      </w:r>
      <w:r w:rsidR="0084153D">
        <w:rPr>
          <w:rFonts w:ascii="Arial" w:hAnsi="Arial" w:cs="Arial"/>
          <w:sz w:val="24"/>
          <w:szCs w:val="24"/>
        </w:rPr>
        <w:t>hanno</w:t>
      </w:r>
      <w:r w:rsidRPr="002D1F4B">
        <w:rPr>
          <w:rFonts w:ascii="Arial" w:hAnsi="Arial" w:cs="Arial"/>
          <w:sz w:val="24"/>
          <w:szCs w:val="24"/>
        </w:rPr>
        <w:t xml:space="preserve"> ritenuto utile tornare sull’argomento per dare atto dell’</w:t>
      </w:r>
      <w:r w:rsidRPr="0084153D">
        <w:rPr>
          <w:rFonts w:ascii="Arial" w:hAnsi="Arial" w:cs="Arial"/>
          <w:b/>
          <w:bCs/>
          <w:sz w:val="24"/>
          <w:szCs w:val="24"/>
        </w:rPr>
        <w:t>evoluzione interpretativa</w:t>
      </w:r>
      <w:r w:rsidRPr="002D1F4B">
        <w:rPr>
          <w:rFonts w:ascii="Arial" w:hAnsi="Arial" w:cs="Arial"/>
          <w:sz w:val="24"/>
          <w:szCs w:val="24"/>
        </w:rPr>
        <w:t xml:space="preserve"> che si è registrata in merito ad alcune tematiche più complesse che riguardano l’istituto.</w:t>
      </w:r>
    </w:p>
    <w:p w14:paraId="364B8F5D" w14:textId="77777777" w:rsidR="002A2893" w:rsidRPr="002D1F4B" w:rsidRDefault="002A2893" w:rsidP="002A2893">
      <w:pPr>
        <w:jc w:val="both"/>
        <w:rPr>
          <w:rFonts w:ascii="Arial" w:hAnsi="Arial" w:cs="Arial"/>
          <w:sz w:val="24"/>
          <w:szCs w:val="24"/>
        </w:rPr>
      </w:pPr>
    </w:p>
    <w:p w14:paraId="5FDAEFDA" w14:textId="77777777" w:rsidR="002D1F4B" w:rsidRDefault="002D1F4B" w:rsidP="002A2893">
      <w:pPr>
        <w:jc w:val="both"/>
        <w:rPr>
          <w:rFonts w:ascii="Arial" w:hAnsi="Arial" w:cs="Arial"/>
          <w:sz w:val="24"/>
          <w:szCs w:val="24"/>
        </w:rPr>
      </w:pPr>
      <w:r w:rsidRPr="002D1F4B">
        <w:rPr>
          <w:rFonts w:ascii="Arial" w:hAnsi="Arial" w:cs="Arial"/>
          <w:sz w:val="24"/>
          <w:szCs w:val="24"/>
        </w:rPr>
        <w:t xml:space="preserve">Sotto il profilo delle </w:t>
      </w:r>
      <w:r w:rsidRPr="0084153D">
        <w:rPr>
          <w:rFonts w:ascii="Arial" w:hAnsi="Arial" w:cs="Arial"/>
          <w:b/>
          <w:bCs/>
          <w:sz w:val="24"/>
          <w:szCs w:val="24"/>
        </w:rPr>
        <w:t>imposte dirette</w:t>
      </w:r>
      <w:r w:rsidRPr="002D1F4B">
        <w:rPr>
          <w:rFonts w:ascii="Arial" w:hAnsi="Arial" w:cs="Arial"/>
          <w:sz w:val="24"/>
          <w:szCs w:val="24"/>
        </w:rPr>
        <w:t xml:space="preserve">, viene confermato il regime di </w:t>
      </w:r>
      <w:r w:rsidRPr="0084153D">
        <w:rPr>
          <w:rFonts w:ascii="Arial" w:hAnsi="Arial" w:cs="Arial"/>
          <w:b/>
          <w:bCs/>
          <w:sz w:val="24"/>
          <w:szCs w:val="24"/>
        </w:rPr>
        <w:t>neutralità fiscale</w:t>
      </w:r>
      <w:r w:rsidRPr="002D1F4B">
        <w:rPr>
          <w:rFonts w:ascii="Arial" w:hAnsi="Arial" w:cs="Arial"/>
          <w:sz w:val="24"/>
          <w:szCs w:val="24"/>
        </w:rPr>
        <w:t xml:space="preserve"> ex art. 58 TUIR, con un approfondimento critico sulla </w:t>
      </w:r>
      <w:r w:rsidRPr="0084153D">
        <w:rPr>
          <w:rFonts w:ascii="Arial" w:hAnsi="Arial" w:cs="Arial"/>
          <w:b/>
          <w:bCs/>
          <w:sz w:val="24"/>
          <w:szCs w:val="24"/>
        </w:rPr>
        <w:t>deducibilità dei conguagli</w:t>
      </w:r>
      <w:r w:rsidRPr="002D1F4B">
        <w:rPr>
          <w:rFonts w:ascii="Arial" w:hAnsi="Arial" w:cs="Arial"/>
          <w:sz w:val="24"/>
          <w:szCs w:val="24"/>
        </w:rPr>
        <w:t xml:space="preserve"> in capo all’assegnatario e sulla gestione delle </w:t>
      </w:r>
      <w:r w:rsidRPr="0084153D">
        <w:rPr>
          <w:rFonts w:ascii="Arial" w:hAnsi="Arial" w:cs="Arial"/>
          <w:b/>
          <w:bCs/>
          <w:sz w:val="24"/>
          <w:szCs w:val="24"/>
        </w:rPr>
        <w:t xml:space="preserve">plusvalenze </w:t>
      </w:r>
      <w:r w:rsidRPr="002D1F4B">
        <w:rPr>
          <w:rFonts w:ascii="Arial" w:hAnsi="Arial" w:cs="Arial"/>
          <w:sz w:val="24"/>
          <w:szCs w:val="24"/>
        </w:rPr>
        <w:t>in sede di successiva cessione.</w:t>
      </w:r>
    </w:p>
    <w:p w14:paraId="05186048" w14:textId="77777777" w:rsidR="002A2893" w:rsidRPr="002D1F4B" w:rsidRDefault="002A2893" w:rsidP="002A2893">
      <w:pPr>
        <w:jc w:val="both"/>
        <w:rPr>
          <w:rFonts w:ascii="Arial" w:hAnsi="Arial" w:cs="Arial"/>
          <w:sz w:val="24"/>
          <w:szCs w:val="24"/>
        </w:rPr>
      </w:pPr>
    </w:p>
    <w:p w14:paraId="6D3072A2" w14:textId="5C95DF5B" w:rsidR="002D1F4B" w:rsidRDefault="002D1F4B" w:rsidP="002A2893">
      <w:pPr>
        <w:jc w:val="both"/>
        <w:rPr>
          <w:rFonts w:ascii="Arial" w:hAnsi="Arial" w:cs="Arial"/>
          <w:sz w:val="24"/>
          <w:szCs w:val="24"/>
        </w:rPr>
      </w:pPr>
      <w:r w:rsidRPr="002D1F4B">
        <w:rPr>
          <w:rFonts w:ascii="Arial" w:hAnsi="Arial" w:cs="Arial"/>
          <w:sz w:val="24"/>
          <w:szCs w:val="24"/>
        </w:rPr>
        <w:t>Il cuore del lavoro risiede nella “rivoluzione” dell’</w:t>
      </w:r>
      <w:r w:rsidRPr="0084153D">
        <w:rPr>
          <w:rFonts w:ascii="Arial" w:hAnsi="Arial" w:cs="Arial"/>
          <w:b/>
          <w:bCs/>
          <w:sz w:val="24"/>
          <w:szCs w:val="24"/>
        </w:rPr>
        <w:t>imposizione indiretta</w:t>
      </w:r>
      <w:r w:rsidRPr="002D1F4B">
        <w:rPr>
          <w:rFonts w:ascii="Arial" w:hAnsi="Arial" w:cs="Arial"/>
          <w:sz w:val="24"/>
          <w:szCs w:val="24"/>
        </w:rPr>
        <w:t xml:space="preserve"> operata dalla giurisprudenza di legittimità e, successivamente, abbracciata anche dalla prassi amministrativa: la liquidazione dei legittimari non assegnatari non è più considerata un’</w:t>
      </w:r>
      <w:r w:rsidRPr="0084153D">
        <w:rPr>
          <w:rFonts w:ascii="Arial" w:hAnsi="Arial" w:cs="Arial"/>
          <w:b/>
          <w:bCs/>
          <w:sz w:val="24"/>
          <w:szCs w:val="24"/>
        </w:rPr>
        <w:t>autonoma liberalità</w:t>
      </w:r>
      <w:r w:rsidRPr="002D1F4B">
        <w:rPr>
          <w:rFonts w:ascii="Arial" w:hAnsi="Arial" w:cs="Arial"/>
          <w:sz w:val="24"/>
          <w:szCs w:val="24"/>
        </w:rPr>
        <w:t xml:space="preserve"> effettuata dal discendente assegnatario a favore dei legittimari non assegnatari, bensì è qualificata come </w:t>
      </w:r>
      <w:r w:rsidRPr="0084153D">
        <w:rPr>
          <w:rFonts w:ascii="Arial" w:hAnsi="Arial" w:cs="Arial"/>
          <w:b/>
          <w:bCs/>
          <w:sz w:val="24"/>
          <w:szCs w:val="24"/>
        </w:rPr>
        <w:t>liberalità indiretta</w:t>
      </w:r>
      <w:r w:rsidRPr="002D1F4B">
        <w:rPr>
          <w:rFonts w:ascii="Arial" w:hAnsi="Arial" w:cs="Arial"/>
          <w:sz w:val="24"/>
          <w:szCs w:val="24"/>
        </w:rPr>
        <w:t xml:space="preserve"> del disponente, consentendo, in linea di principio, l’applicazione delle aliquote e franchigie previste per il rapporto genitore-figlio anziché quelle più onerose vigenti nei rapporti tra collaterali.</w:t>
      </w:r>
    </w:p>
    <w:p w14:paraId="0C02DB43" w14:textId="77777777" w:rsidR="002A2893" w:rsidRPr="002D1F4B" w:rsidRDefault="002A2893" w:rsidP="002A2893">
      <w:pPr>
        <w:jc w:val="both"/>
        <w:rPr>
          <w:rFonts w:ascii="Arial" w:hAnsi="Arial" w:cs="Arial"/>
          <w:sz w:val="24"/>
          <w:szCs w:val="24"/>
        </w:rPr>
      </w:pPr>
    </w:p>
    <w:p w14:paraId="76AA9507" w14:textId="4383476A" w:rsidR="002D1F4B" w:rsidRDefault="002D1F4B" w:rsidP="002A289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2D1F4B">
        <w:rPr>
          <w:rFonts w:ascii="Arial" w:hAnsi="Arial" w:cs="Arial"/>
          <w:sz w:val="24"/>
          <w:szCs w:val="24"/>
        </w:rPr>
        <w:t xml:space="preserve">ul piano delle </w:t>
      </w:r>
      <w:r w:rsidRPr="0084153D">
        <w:rPr>
          <w:rFonts w:ascii="Arial" w:hAnsi="Arial" w:cs="Arial"/>
          <w:b/>
          <w:bCs/>
          <w:sz w:val="24"/>
          <w:szCs w:val="24"/>
        </w:rPr>
        <w:t>agevolazioni</w:t>
      </w:r>
      <w:r w:rsidRPr="002D1F4B">
        <w:rPr>
          <w:rFonts w:ascii="Arial" w:hAnsi="Arial" w:cs="Arial"/>
          <w:sz w:val="24"/>
          <w:szCs w:val="24"/>
        </w:rPr>
        <w:t>,</w:t>
      </w:r>
      <w:r w:rsidR="0084153D">
        <w:rPr>
          <w:rFonts w:ascii="Arial" w:hAnsi="Arial" w:cs="Arial"/>
          <w:sz w:val="24"/>
          <w:szCs w:val="24"/>
        </w:rPr>
        <w:t xml:space="preserve"> </w:t>
      </w:r>
      <w:r w:rsidRPr="002D1F4B">
        <w:rPr>
          <w:rFonts w:ascii="Arial" w:hAnsi="Arial" w:cs="Arial"/>
          <w:sz w:val="24"/>
          <w:szCs w:val="24"/>
        </w:rPr>
        <w:t>lo studio esamina</w:t>
      </w:r>
      <w:r>
        <w:rPr>
          <w:rFonts w:ascii="Arial" w:hAnsi="Arial" w:cs="Arial"/>
          <w:sz w:val="24"/>
          <w:szCs w:val="24"/>
        </w:rPr>
        <w:t xml:space="preserve"> </w:t>
      </w:r>
      <w:r w:rsidRPr="002D1F4B">
        <w:rPr>
          <w:rFonts w:ascii="Arial" w:hAnsi="Arial" w:cs="Arial"/>
          <w:sz w:val="24"/>
          <w:szCs w:val="24"/>
        </w:rPr>
        <w:t>i requisiti richiesti per l’operatività dell’</w:t>
      </w:r>
      <w:r w:rsidRPr="0084153D">
        <w:rPr>
          <w:rFonts w:ascii="Arial" w:hAnsi="Arial" w:cs="Arial"/>
          <w:b/>
          <w:bCs/>
          <w:sz w:val="24"/>
          <w:szCs w:val="24"/>
        </w:rPr>
        <w:t xml:space="preserve">esenzione </w:t>
      </w:r>
      <w:r w:rsidRPr="002D1F4B">
        <w:rPr>
          <w:rFonts w:ascii="Arial" w:hAnsi="Arial" w:cs="Arial"/>
          <w:sz w:val="24"/>
          <w:szCs w:val="24"/>
        </w:rPr>
        <w:t>di cui all’art. 3, comma 4-ter del d.lgs. n. 346 del 1990, alla luce</w:t>
      </w:r>
      <w:r>
        <w:rPr>
          <w:rFonts w:ascii="Arial" w:hAnsi="Arial" w:cs="Arial"/>
          <w:sz w:val="24"/>
          <w:szCs w:val="24"/>
        </w:rPr>
        <w:t xml:space="preserve"> </w:t>
      </w:r>
      <w:r w:rsidRPr="002D1F4B">
        <w:rPr>
          <w:rFonts w:ascii="Arial" w:hAnsi="Arial" w:cs="Arial"/>
          <w:sz w:val="24"/>
          <w:szCs w:val="24"/>
        </w:rPr>
        <w:t>dei più recenti interventi della prassi amministrativa e della giurisprudenza di legittimità analizzando</w:t>
      </w:r>
      <w:r>
        <w:rPr>
          <w:rFonts w:ascii="Arial" w:hAnsi="Arial" w:cs="Arial"/>
          <w:sz w:val="24"/>
          <w:szCs w:val="24"/>
        </w:rPr>
        <w:t xml:space="preserve"> </w:t>
      </w:r>
      <w:r w:rsidRPr="002D1F4B">
        <w:rPr>
          <w:rFonts w:ascii="Arial" w:hAnsi="Arial" w:cs="Arial"/>
          <w:sz w:val="24"/>
          <w:szCs w:val="24"/>
        </w:rPr>
        <w:t xml:space="preserve">la tenuta dell’agevolazione in esame a fronte di </w:t>
      </w:r>
      <w:r w:rsidRPr="0084153D">
        <w:rPr>
          <w:rFonts w:ascii="Arial" w:hAnsi="Arial" w:cs="Arial"/>
          <w:b/>
          <w:bCs/>
          <w:sz w:val="24"/>
          <w:szCs w:val="24"/>
        </w:rPr>
        <w:t>operazioni straordinarie (scissioni e conferimenti in holding)</w:t>
      </w:r>
      <w:r w:rsidR="002A2893">
        <w:rPr>
          <w:rFonts w:ascii="Arial" w:hAnsi="Arial" w:cs="Arial"/>
          <w:sz w:val="24"/>
          <w:szCs w:val="24"/>
        </w:rPr>
        <w:t>.</w:t>
      </w:r>
    </w:p>
    <w:p w14:paraId="1E5D999A" w14:textId="77777777" w:rsidR="002A2893" w:rsidRPr="002A2893" w:rsidRDefault="002A2893" w:rsidP="002A2893">
      <w:pPr>
        <w:jc w:val="both"/>
        <w:rPr>
          <w:rFonts w:ascii="Arial" w:hAnsi="Arial" w:cs="Arial"/>
          <w:sz w:val="24"/>
          <w:szCs w:val="24"/>
        </w:rPr>
      </w:pPr>
    </w:p>
    <w:p w14:paraId="09242834" w14:textId="77777777" w:rsidR="002D1F4B" w:rsidRDefault="002D1F4B" w:rsidP="002A2893">
      <w:pPr>
        <w:jc w:val="both"/>
        <w:rPr>
          <w:rFonts w:ascii="Arial" w:hAnsi="Arial" w:cs="Arial"/>
          <w:sz w:val="24"/>
          <w:szCs w:val="24"/>
        </w:rPr>
      </w:pPr>
      <w:r w:rsidRPr="002D1F4B">
        <w:rPr>
          <w:rFonts w:ascii="Arial" w:hAnsi="Arial" w:cs="Arial"/>
          <w:sz w:val="24"/>
          <w:szCs w:val="24"/>
        </w:rPr>
        <w:t>Infine, si ribadisce l’</w:t>
      </w:r>
      <w:r w:rsidRPr="0084153D">
        <w:rPr>
          <w:rFonts w:ascii="Arial" w:hAnsi="Arial" w:cs="Arial"/>
          <w:b/>
          <w:bCs/>
          <w:sz w:val="24"/>
          <w:szCs w:val="24"/>
        </w:rPr>
        <w:t>inderogabilità</w:t>
      </w:r>
      <w:r w:rsidRPr="002D1F4B">
        <w:rPr>
          <w:rFonts w:ascii="Arial" w:hAnsi="Arial" w:cs="Arial"/>
          <w:sz w:val="24"/>
          <w:szCs w:val="24"/>
        </w:rPr>
        <w:t xml:space="preserve"> della </w:t>
      </w:r>
      <w:r w:rsidRPr="0084153D">
        <w:rPr>
          <w:rFonts w:ascii="Arial" w:hAnsi="Arial" w:cs="Arial"/>
          <w:b/>
          <w:bCs/>
          <w:sz w:val="24"/>
          <w:szCs w:val="24"/>
        </w:rPr>
        <w:t>forma solenne (atto pubblico)</w:t>
      </w:r>
      <w:r w:rsidRPr="002D1F4B">
        <w:rPr>
          <w:rFonts w:ascii="Arial" w:hAnsi="Arial" w:cs="Arial"/>
          <w:sz w:val="24"/>
          <w:szCs w:val="24"/>
        </w:rPr>
        <w:t xml:space="preserve"> non solo per il Patto di famiglia, ma anche per l’intero programma negoziale collegato, evidenziando i rischi della nullità sotto il profilo civilistico e le conseguenze da essa derivanti ai fini fiscali.</w:t>
      </w:r>
    </w:p>
    <w:p w14:paraId="61C76DFF" w14:textId="77777777" w:rsidR="002A2893" w:rsidRPr="002D1F4B" w:rsidRDefault="002A2893" w:rsidP="002A2893">
      <w:pPr>
        <w:jc w:val="both"/>
        <w:rPr>
          <w:rFonts w:ascii="Arial" w:hAnsi="Arial" w:cs="Arial"/>
          <w:sz w:val="24"/>
          <w:szCs w:val="24"/>
        </w:rPr>
      </w:pPr>
    </w:p>
    <w:p w14:paraId="4B2713B4" w14:textId="77777777" w:rsidR="002D1F4B" w:rsidRPr="002D1F4B" w:rsidRDefault="002D1F4B" w:rsidP="002A2893">
      <w:pPr>
        <w:jc w:val="both"/>
        <w:rPr>
          <w:rFonts w:ascii="Arial" w:hAnsi="Arial" w:cs="Arial"/>
          <w:sz w:val="24"/>
          <w:szCs w:val="24"/>
        </w:rPr>
      </w:pPr>
      <w:r w:rsidRPr="002D1F4B">
        <w:rPr>
          <w:rFonts w:ascii="Arial" w:hAnsi="Arial" w:cs="Arial"/>
          <w:sz w:val="24"/>
          <w:szCs w:val="24"/>
        </w:rPr>
        <w:t xml:space="preserve">Il documento si conclude confermando il Patto di famiglia come </w:t>
      </w:r>
      <w:r w:rsidRPr="0084153D">
        <w:rPr>
          <w:rFonts w:ascii="Arial" w:hAnsi="Arial" w:cs="Arial"/>
          <w:b/>
          <w:bCs/>
          <w:sz w:val="24"/>
          <w:szCs w:val="24"/>
        </w:rPr>
        <w:t>strumento d’elezione</w:t>
      </w:r>
      <w:r w:rsidRPr="002D1F4B">
        <w:rPr>
          <w:rFonts w:ascii="Arial" w:hAnsi="Arial" w:cs="Arial"/>
          <w:sz w:val="24"/>
          <w:szCs w:val="24"/>
        </w:rPr>
        <w:t xml:space="preserve"> per il </w:t>
      </w:r>
      <w:r w:rsidRPr="0084153D">
        <w:rPr>
          <w:rFonts w:ascii="Arial" w:hAnsi="Arial" w:cs="Arial"/>
          <w:b/>
          <w:bCs/>
          <w:sz w:val="24"/>
          <w:szCs w:val="24"/>
        </w:rPr>
        <w:t>passaggio generazionale</w:t>
      </w:r>
      <w:r w:rsidRPr="002D1F4B">
        <w:rPr>
          <w:rFonts w:ascii="Arial" w:hAnsi="Arial" w:cs="Arial"/>
          <w:sz w:val="24"/>
          <w:szCs w:val="24"/>
        </w:rPr>
        <w:t xml:space="preserve">, a condizione che la redazione delle clausole sia sorretta da </w:t>
      </w:r>
      <w:r w:rsidRPr="0084153D">
        <w:rPr>
          <w:rFonts w:ascii="Arial" w:hAnsi="Arial" w:cs="Arial"/>
          <w:b/>
          <w:bCs/>
          <w:sz w:val="24"/>
          <w:szCs w:val="24"/>
        </w:rPr>
        <w:t>rigorosa perizia e competenza tecnica</w:t>
      </w:r>
      <w:r w:rsidRPr="002D1F4B">
        <w:rPr>
          <w:rFonts w:ascii="Arial" w:hAnsi="Arial" w:cs="Arial"/>
          <w:sz w:val="24"/>
          <w:szCs w:val="24"/>
        </w:rPr>
        <w:t>.</w:t>
      </w:r>
    </w:p>
    <w:p w14:paraId="352BBECD" w14:textId="77777777" w:rsidR="002D1F4B" w:rsidRPr="002D1F4B" w:rsidRDefault="002D1F4B" w:rsidP="0084153D">
      <w:pPr>
        <w:jc w:val="both"/>
      </w:pPr>
    </w:p>
    <w:p w14:paraId="782F0E28" w14:textId="76D120C7" w:rsidR="009171BF" w:rsidRPr="002D1F4B" w:rsidRDefault="009171BF" w:rsidP="0084153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sectPr w:rsidR="009171BF" w:rsidRPr="002D1F4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4EFA4" w14:textId="77777777" w:rsidR="00FE1054" w:rsidRDefault="00FE1054" w:rsidP="0078332C">
      <w:r>
        <w:separator/>
      </w:r>
    </w:p>
  </w:endnote>
  <w:endnote w:type="continuationSeparator" w:id="0">
    <w:p w14:paraId="196BF9A5" w14:textId="77777777" w:rsidR="00FE1054" w:rsidRDefault="00FE1054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A843B" w14:textId="77777777" w:rsidR="00FE1054" w:rsidRDefault="00FE1054" w:rsidP="0078332C">
      <w:r>
        <w:separator/>
      </w:r>
    </w:p>
  </w:footnote>
  <w:footnote w:type="continuationSeparator" w:id="0">
    <w:p w14:paraId="1F44F88C" w14:textId="77777777" w:rsidR="00FE1054" w:rsidRDefault="00FE1054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982848194">
    <w:abstractNumId w:val="9"/>
  </w:num>
  <w:num w:numId="2" w16cid:durableId="106780410">
    <w:abstractNumId w:val="5"/>
  </w:num>
  <w:num w:numId="3" w16cid:durableId="1143814503">
    <w:abstractNumId w:val="10"/>
  </w:num>
  <w:num w:numId="4" w16cid:durableId="1350837101">
    <w:abstractNumId w:val="6"/>
  </w:num>
  <w:num w:numId="5" w16cid:durableId="115179250">
    <w:abstractNumId w:val="14"/>
  </w:num>
  <w:num w:numId="6" w16cid:durableId="944271232">
    <w:abstractNumId w:val="4"/>
  </w:num>
  <w:num w:numId="7" w16cid:durableId="544224082">
    <w:abstractNumId w:val="0"/>
  </w:num>
  <w:num w:numId="8" w16cid:durableId="643511524">
    <w:abstractNumId w:val="12"/>
  </w:num>
  <w:num w:numId="9" w16cid:durableId="391078067">
    <w:abstractNumId w:val="7"/>
  </w:num>
  <w:num w:numId="10" w16cid:durableId="1304919471">
    <w:abstractNumId w:val="7"/>
  </w:num>
  <w:num w:numId="11" w16cid:durableId="1173496055">
    <w:abstractNumId w:val="8"/>
  </w:num>
  <w:num w:numId="12" w16cid:durableId="1237351510">
    <w:abstractNumId w:val="2"/>
  </w:num>
  <w:num w:numId="13" w16cid:durableId="1711418378">
    <w:abstractNumId w:val="13"/>
  </w:num>
  <w:num w:numId="14" w16cid:durableId="904755699">
    <w:abstractNumId w:val="3"/>
  </w:num>
  <w:num w:numId="15" w16cid:durableId="867985899">
    <w:abstractNumId w:val="8"/>
    <w:lvlOverride w:ilvl="0">
      <w:startOverride w:val="1"/>
    </w:lvlOverride>
  </w:num>
  <w:num w:numId="16" w16cid:durableId="1512143440">
    <w:abstractNumId w:val="3"/>
    <w:lvlOverride w:ilvl="0">
      <w:startOverride w:val="1"/>
    </w:lvlOverride>
  </w:num>
  <w:num w:numId="17" w16cid:durableId="1658920913">
    <w:abstractNumId w:val="1"/>
  </w:num>
  <w:num w:numId="18" w16cid:durableId="8546098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0575664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8088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011923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1565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133995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747492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6F55"/>
    <w:rsid w:val="000D7385"/>
    <w:rsid w:val="000D7847"/>
    <w:rsid w:val="000E1AE4"/>
    <w:rsid w:val="000E22EF"/>
    <w:rsid w:val="000E2C59"/>
    <w:rsid w:val="000F3853"/>
    <w:rsid w:val="00103B90"/>
    <w:rsid w:val="00105755"/>
    <w:rsid w:val="00117671"/>
    <w:rsid w:val="00121A2C"/>
    <w:rsid w:val="00121C2D"/>
    <w:rsid w:val="00123B69"/>
    <w:rsid w:val="00134E4F"/>
    <w:rsid w:val="00142E95"/>
    <w:rsid w:val="00173E3A"/>
    <w:rsid w:val="00174310"/>
    <w:rsid w:val="00183DF0"/>
    <w:rsid w:val="00184600"/>
    <w:rsid w:val="00186787"/>
    <w:rsid w:val="0018754E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BFD"/>
    <w:rsid w:val="001E6D19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01AD"/>
    <w:rsid w:val="00272605"/>
    <w:rsid w:val="002777E7"/>
    <w:rsid w:val="00281202"/>
    <w:rsid w:val="0028246D"/>
    <w:rsid w:val="00286C68"/>
    <w:rsid w:val="002933D0"/>
    <w:rsid w:val="00294D14"/>
    <w:rsid w:val="002973C7"/>
    <w:rsid w:val="00297CA4"/>
    <w:rsid w:val="002A1399"/>
    <w:rsid w:val="002A2893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1F4B"/>
    <w:rsid w:val="002D2034"/>
    <w:rsid w:val="002E00E7"/>
    <w:rsid w:val="002E042D"/>
    <w:rsid w:val="002E0E5F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4C9E"/>
    <w:rsid w:val="003907A0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5D1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57EA5"/>
    <w:rsid w:val="0046629D"/>
    <w:rsid w:val="0047270A"/>
    <w:rsid w:val="00472F6D"/>
    <w:rsid w:val="00476C15"/>
    <w:rsid w:val="00485F00"/>
    <w:rsid w:val="004875FA"/>
    <w:rsid w:val="00493DC9"/>
    <w:rsid w:val="00496213"/>
    <w:rsid w:val="004964DA"/>
    <w:rsid w:val="004A44B8"/>
    <w:rsid w:val="004A6888"/>
    <w:rsid w:val="004B2695"/>
    <w:rsid w:val="004C6565"/>
    <w:rsid w:val="004D5FAB"/>
    <w:rsid w:val="004E435B"/>
    <w:rsid w:val="004F1170"/>
    <w:rsid w:val="004F4736"/>
    <w:rsid w:val="004F56A8"/>
    <w:rsid w:val="004F7362"/>
    <w:rsid w:val="00500E13"/>
    <w:rsid w:val="005049DF"/>
    <w:rsid w:val="00505AE2"/>
    <w:rsid w:val="00511C1B"/>
    <w:rsid w:val="005122BE"/>
    <w:rsid w:val="00513967"/>
    <w:rsid w:val="00516C97"/>
    <w:rsid w:val="00520E1B"/>
    <w:rsid w:val="00522FFA"/>
    <w:rsid w:val="00531523"/>
    <w:rsid w:val="00534AD7"/>
    <w:rsid w:val="00536016"/>
    <w:rsid w:val="005403EC"/>
    <w:rsid w:val="00542311"/>
    <w:rsid w:val="00543860"/>
    <w:rsid w:val="00544970"/>
    <w:rsid w:val="00553019"/>
    <w:rsid w:val="00555885"/>
    <w:rsid w:val="005625A8"/>
    <w:rsid w:val="005636DE"/>
    <w:rsid w:val="00564A2D"/>
    <w:rsid w:val="005673AC"/>
    <w:rsid w:val="005721E9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2E08"/>
    <w:rsid w:val="005B45B5"/>
    <w:rsid w:val="005C1E5D"/>
    <w:rsid w:val="005C2B99"/>
    <w:rsid w:val="005D1AAA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4580"/>
    <w:rsid w:val="005F5B57"/>
    <w:rsid w:val="005F684F"/>
    <w:rsid w:val="00616BA6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B5D"/>
    <w:rsid w:val="006A0D3B"/>
    <w:rsid w:val="006A4451"/>
    <w:rsid w:val="006C3945"/>
    <w:rsid w:val="006C6818"/>
    <w:rsid w:val="006C7063"/>
    <w:rsid w:val="006E0267"/>
    <w:rsid w:val="006E43CD"/>
    <w:rsid w:val="006F4DC7"/>
    <w:rsid w:val="00717A95"/>
    <w:rsid w:val="00717DC7"/>
    <w:rsid w:val="00726188"/>
    <w:rsid w:val="007262E1"/>
    <w:rsid w:val="00736E95"/>
    <w:rsid w:val="007413CC"/>
    <w:rsid w:val="007415B1"/>
    <w:rsid w:val="00741678"/>
    <w:rsid w:val="007423B1"/>
    <w:rsid w:val="00742F7F"/>
    <w:rsid w:val="00747D7E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A4D6C"/>
    <w:rsid w:val="007C0C2D"/>
    <w:rsid w:val="007C14B1"/>
    <w:rsid w:val="007C3A93"/>
    <w:rsid w:val="007C5CCD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4153D"/>
    <w:rsid w:val="00851572"/>
    <w:rsid w:val="00855840"/>
    <w:rsid w:val="008600AC"/>
    <w:rsid w:val="008603A5"/>
    <w:rsid w:val="00863104"/>
    <w:rsid w:val="0086653D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ED3"/>
    <w:rsid w:val="008C7690"/>
    <w:rsid w:val="008D45A5"/>
    <w:rsid w:val="008D5C4B"/>
    <w:rsid w:val="008E141E"/>
    <w:rsid w:val="00900B88"/>
    <w:rsid w:val="0090438E"/>
    <w:rsid w:val="00906D46"/>
    <w:rsid w:val="00907687"/>
    <w:rsid w:val="009171BF"/>
    <w:rsid w:val="00920E08"/>
    <w:rsid w:val="0093430A"/>
    <w:rsid w:val="00934F3D"/>
    <w:rsid w:val="00935333"/>
    <w:rsid w:val="009400B3"/>
    <w:rsid w:val="009477ED"/>
    <w:rsid w:val="00951203"/>
    <w:rsid w:val="009618F5"/>
    <w:rsid w:val="00964B64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B3CAD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45B6"/>
    <w:rsid w:val="00A95EE2"/>
    <w:rsid w:val="00A978C3"/>
    <w:rsid w:val="00AA004A"/>
    <w:rsid w:val="00AA33E3"/>
    <w:rsid w:val="00AA59C8"/>
    <w:rsid w:val="00AA66A8"/>
    <w:rsid w:val="00AA7145"/>
    <w:rsid w:val="00AB02A8"/>
    <w:rsid w:val="00AB092F"/>
    <w:rsid w:val="00AB337A"/>
    <w:rsid w:val="00AB4CC5"/>
    <w:rsid w:val="00AC131C"/>
    <w:rsid w:val="00AC2BD9"/>
    <w:rsid w:val="00AD5F80"/>
    <w:rsid w:val="00AE10AA"/>
    <w:rsid w:val="00AE3DBA"/>
    <w:rsid w:val="00AE61AD"/>
    <w:rsid w:val="00AF0885"/>
    <w:rsid w:val="00AF2707"/>
    <w:rsid w:val="00AF747D"/>
    <w:rsid w:val="00B01322"/>
    <w:rsid w:val="00B14747"/>
    <w:rsid w:val="00B15621"/>
    <w:rsid w:val="00B34200"/>
    <w:rsid w:val="00B42691"/>
    <w:rsid w:val="00B51B4A"/>
    <w:rsid w:val="00B62562"/>
    <w:rsid w:val="00B738BB"/>
    <w:rsid w:val="00B74510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071AF"/>
    <w:rsid w:val="00C27F27"/>
    <w:rsid w:val="00C302BD"/>
    <w:rsid w:val="00C30E85"/>
    <w:rsid w:val="00C32237"/>
    <w:rsid w:val="00C33494"/>
    <w:rsid w:val="00C342D6"/>
    <w:rsid w:val="00C418FB"/>
    <w:rsid w:val="00C43099"/>
    <w:rsid w:val="00C51F27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21FB3"/>
    <w:rsid w:val="00D27080"/>
    <w:rsid w:val="00D30BD1"/>
    <w:rsid w:val="00D37415"/>
    <w:rsid w:val="00D44814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914"/>
    <w:rsid w:val="00DB6F21"/>
    <w:rsid w:val="00DC2C88"/>
    <w:rsid w:val="00DC2C9E"/>
    <w:rsid w:val="00DD07C2"/>
    <w:rsid w:val="00DD1DF9"/>
    <w:rsid w:val="00DD43CD"/>
    <w:rsid w:val="00DD6F05"/>
    <w:rsid w:val="00DE06A3"/>
    <w:rsid w:val="00DE2E73"/>
    <w:rsid w:val="00DE78C6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476CC"/>
    <w:rsid w:val="00E63F02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C5CD1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0DFF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B68FF"/>
    <w:rsid w:val="00FC274B"/>
    <w:rsid w:val="00FC600A"/>
    <w:rsid w:val="00FD01C2"/>
    <w:rsid w:val="00FE009E"/>
    <w:rsid w:val="00FE08C9"/>
    <w:rsid w:val="00FE1054"/>
    <w:rsid w:val="00FE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153D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contentpasted0">
    <w:name w:val="contentpasted0"/>
    <w:basedOn w:val="Carpredefinitoparagrafo"/>
    <w:rsid w:val="00E63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387</Words>
  <Characters>2419</Characters>
  <Application>Microsoft Office Word</Application>
  <DocSecurity>0</DocSecurity>
  <Lines>44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cp:lastPrinted>2022-09-30T09:57:00Z</cp:lastPrinted>
  <dcterms:created xsi:type="dcterms:W3CDTF">2026-07-27T09:37:00Z</dcterms:created>
  <dcterms:modified xsi:type="dcterms:W3CDTF">2026-07-27T13:36:00Z</dcterms:modified>
</cp:coreProperties>
</file>