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A4D05" w14:textId="77777777" w:rsidR="00A63EEF" w:rsidRPr="00A938A4" w:rsidRDefault="00A63EEF" w:rsidP="00A63EEF">
      <w:pPr>
        <w:rPr>
          <w:rFonts w:ascii="Arial" w:hAnsi="Arial" w:cs="Arial"/>
          <w:sz w:val="23"/>
          <w:szCs w:val="23"/>
          <w:lang w:eastAsia="en-US"/>
        </w:rPr>
      </w:pPr>
    </w:p>
    <w:p w14:paraId="1E7DF3B3" w14:textId="77777777" w:rsidR="00A938A4" w:rsidRPr="00A938A4" w:rsidRDefault="00A938A4" w:rsidP="00A938A4">
      <w:pPr>
        <w:jc w:val="center"/>
        <w:rPr>
          <w:rFonts w:ascii="Arial" w:eastAsia="Times New Roman" w:hAnsi="Arial" w:cs="Arial"/>
          <w:b/>
          <w:bCs/>
          <w:color w:val="000000"/>
          <w:u w:val="single"/>
        </w:rPr>
      </w:pPr>
      <w:r w:rsidRPr="00A938A4">
        <w:rPr>
          <w:rFonts w:ascii="Arial" w:eastAsia="Times New Roman" w:hAnsi="Arial" w:cs="Arial"/>
          <w:b/>
          <w:bCs/>
          <w:color w:val="000000"/>
          <w:u w:val="single"/>
        </w:rPr>
        <w:t>Comunicato stampa</w:t>
      </w:r>
    </w:p>
    <w:p w14:paraId="13BE3C1A" w14:textId="77777777" w:rsidR="00A938A4" w:rsidRDefault="00A938A4" w:rsidP="00A938A4">
      <w:pPr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573C3DF9" w14:textId="4B221C4F" w:rsidR="00A938A4" w:rsidRPr="00A938A4" w:rsidRDefault="00A938A4" w:rsidP="00A938A4">
      <w:pPr>
        <w:jc w:val="center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b/>
          <w:bCs/>
          <w:color w:val="000000"/>
        </w:rPr>
        <w:t>COMMERCIALISTI: REDDITI IN CRESCITA DELL'8,3%, TORNANO A SALIRE I PRATICANTI</w:t>
      </w:r>
      <w:r w:rsidR="00B226FF">
        <w:rPr>
          <w:rFonts w:ascii="Arial" w:eastAsia="Times New Roman" w:hAnsi="Arial" w:cs="Arial"/>
          <w:b/>
          <w:bCs/>
          <w:color w:val="000000"/>
        </w:rPr>
        <w:t xml:space="preserve"> (+4,2%)</w:t>
      </w:r>
    </w:p>
    <w:p w14:paraId="3D225804" w14:textId="77777777" w:rsidR="00A938A4" w:rsidRPr="00A938A4" w:rsidRDefault="00A938A4" w:rsidP="00A938A4">
      <w:pPr>
        <w:jc w:val="center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b/>
          <w:bCs/>
          <w:color w:val="000000"/>
        </w:rPr>
        <w:t> </w:t>
      </w:r>
    </w:p>
    <w:p w14:paraId="69977422" w14:textId="77777777" w:rsidR="00A938A4" w:rsidRPr="00A938A4" w:rsidRDefault="00A938A4" w:rsidP="00A938A4">
      <w:pPr>
        <w:jc w:val="center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b/>
          <w:bCs/>
          <w:color w:val="000000"/>
        </w:rPr>
        <w:t>Presentato il Rapporto 2026 sulla professione. Per la prima volta il reddito reale supera i livelli del 2007. Crescono anche le Società tra Professionisti. In calo gli iscritti all'Albo</w:t>
      </w:r>
    </w:p>
    <w:p w14:paraId="724F1EA8" w14:textId="77777777" w:rsidR="00A938A4" w:rsidRPr="00A938A4" w:rsidRDefault="00A938A4" w:rsidP="00A938A4">
      <w:pPr>
        <w:jc w:val="center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b/>
          <w:bCs/>
          <w:color w:val="000000"/>
        </w:rPr>
        <w:t> </w:t>
      </w:r>
    </w:p>
    <w:p w14:paraId="6057F8DB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i/>
          <w:iCs/>
          <w:color w:val="000000"/>
        </w:rPr>
        <w:t>Roma, 16 luglio 2026</w:t>
      </w:r>
      <w:r w:rsidRPr="00A938A4">
        <w:rPr>
          <w:rFonts w:ascii="Arial" w:eastAsia="Times New Roman" w:hAnsi="Arial" w:cs="Arial"/>
          <w:color w:val="000000"/>
        </w:rPr>
        <w:t xml:space="preserve"> – I commercialisti italiani rafforzano il proprio ruolo nell'economia del Paese. Nel </w:t>
      </w:r>
      <w:r w:rsidRPr="00A938A4">
        <w:rPr>
          <w:rFonts w:ascii="Arial" w:eastAsia="Times New Roman" w:hAnsi="Arial" w:cs="Arial"/>
          <w:b/>
          <w:bCs/>
          <w:color w:val="000000"/>
        </w:rPr>
        <w:t>2025</w:t>
      </w:r>
      <w:r w:rsidRPr="00A938A4">
        <w:rPr>
          <w:rFonts w:ascii="Arial" w:eastAsia="Times New Roman" w:hAnsi="Arial" w:cs="Arial"/>
          <w:color w:val="000000"/>
        </w:rPr>
        <w:t xml:space="preserve"> il </w:t>
      </w:r>
      <w:r w:rsidRPr="00A938A4">
        <w:rPr>
          <w:rFonts w:ascii="Arial" w:eastAsia="Times New Roman" w:hAnsi="Arial" w:cs="Arial"/>
          <w:b/>
          <w:bCs/>
          <w:color w:val="000000"/>
        </w:rPr>
        <w:t>reddito medio professionale</w:t>
      </w:r>
      <w:r w:rsidRPr="00A938A4">
        <w:rPr>
          <w:rFonts w:ascii="Arial" w:eastAsia="Times New Roman" w:hAnsi="Arial" w:cs="Arial"/>
          <w:color w:val="000000"/>
        </w:rPr>
        <w:t xml:space="preserve"> è cresciuto dell'</w:t>
      </w:r>
      <w:r w:rsidRPr="00A938A4">
        <w:rPr>
          <w:rFonts w:ascii="Arial" w:eastAsia="Times New Roman" w:hAnsi="Arial" w:cs="Arial"/>
          <w:b/>
          <w:bCs/>
          <w:color w:val="000000"/>
        </w:rPr>
        <w:t>8,3%</w:t>
      </w:r>
      <w:r w:rsidRPr="00A938A4">
        <w:rPr>
          <w:rFonts w:ascii="Arial" w:eastAsia="Times New Roman" w:hAnsi="Arial" w:cs="Arial"/>
          <w:color w:val="000000"/>
        </w:rPr>
        <w:t xml:space="preserve">, raggiungendo </w:t>
      </w:r>
      <w:r w:rsidRPr="00A938A4">
        <w:rPr>
          <w:rFonts w:ascii="Arial" w:eastAsia="Times New Roman" w:hAnsi="Arial" w:cs="Arial"/>
          <w:b/>
          <w:bCs/>
          <w:color w:val="000000"/>
        </w:rPr>
        <w:t>87.376 euro</w:t>
      </w:r>
      <w:r w:rsidRPr="00A938A4">
        <w:rPr>
          <w:rFonts w:ascii="Arial" w:eastAsia="Times New Roman" w:hAnsi="Arial" w:cs="Arial"/>
          <w:color w:val="000000"/>
        </w:rPr>
        <w:t xml:space="preserve">. Al </w:t>
      </w:r>
      <w:r w:rsidRPr="00A938A4">
        <w:rPr>
          <w:rFonts w:ascii="Arial" w:eastAsia="Times New Roman" w:hAnsi="Arial" w:cs="Arial"/>
          <w:b/>
          <w:bCs/>
          <w:color w:val="000000"/>
        </w:rPr>
        <w:t>netto dell'inflazione</w:t>
      </w:r>
      <w:r w:rsidRPr="00A938A4">
        <w:rPr>
          <w:rFonts w:ascii="Arial" w:eastAsia="Times New Roman" w:hAnsi="Arial" w:cs="Arial"/>
          <w:color w:val="000000"/>
        </w:rPr>
        <w:t xml:space="preserve">, l'incremento reale è stato pari al </w:t>
      </w:r>
      <w:r w:rsidRPr="00A938A4">
        <w:rPr>
          <w:rFonts w:ascii="Arial" w:eastAsia="Times New Roman" w:hAnsi="Arial" w:cs="Arial"/>
          <w:b/>
          <w:bCs/>
          <w:color w:val="000000"/>
        </w:rPr>
        <w:t>7,3%,</w:t>
      </w:r>
      <w:r w:rsidRPr="00A938A4">
        <w:rPr>
          <w:rFonts w:ascii="Arial" w:eastAsia="Times New Roman" w:hAnsi="Arial" w:cs="Arial"/>
          <w:color w:val="000000"/>
        </w:rPr>
        <w:t xml:space="preserve"> consentendo alla categoria di superare per la prima volta i livelli reddituali registrati nel </w:t>
      </w:r>
      <w:r w:rsidRPr="00A938A4">
        <w:rPr>
          <w:rFonts w:ascii="Arial" w:eastAsia="Times New Roman" w:hAnsi="Arial" w:cs="Arial"/>
          <w:b/>
          <w:bCs/>
          <w:color w:val="000000"/>
        </w:rPr>
        <w:t>2007</w:t>
      </w:r>
      <w:r w:rsidRPr="00A938A4">
        <w:rPr>
          <w:rFonts w:ascii="Arial" w:eastAsia="Times New Roman" w:hAnsi="Arial" w:cs="Arial"/>
          <w:color w:val="000000"/>
        </w:rPr>
        <w:t xml:space="preserve">, prima della lunga fase di </w:t>
      </w:r>
      <w:r w:rsidRPr="00A938A4">
        <w:rPr>
          <w:rFonts w:ascii="Arial" w:eastAsia="Times New Roman" w:hAnsi="Arial" w:cs="Arial"/>
          <w:b/>
          <w:bCs/>
          <w:color w:val="000000"/>
        </w:rPr>
        <w:t>crisi economica</w:t>
      </w:r>
      <w:r w:rsidRPr="00A938A4">
        <w:rPr>
          <w:rFonts w:ascii="Arial" w:eastAsia="Times New Roman" w:hAnsi="Arial" w:cs="Arial"/>
          <w:color w:val="000000"/>
        </w:rPr>
        <w:t xml:space="preserve"> che ha interessato il Paese.</w:t>
      </w:r>
    </w:p>
    <w:p w14:paraId="29F2E411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> </w:t>
      </w:r>
    </w:p>
    <w:p w14:paraId="66243957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 xml:space="preserve">È uno dei principali risultati contenuti nel </w:t>
      </w:r>
      <w:r w:rsidRPr="00A938A4">
        <w:rPr>
          <w:rFonts w:ascii="Arial" w:eastAsia="Times New Roman" w:hAnsi="Arial" w:cs="Arial"/>
          <w:b/>
          <w:bCs/>
          <w:color w:val="000000"/>
        </w:rPr>
        <w:t>Rapporto 2026 sulla professione</w:t>
      </w:r>
      <w:r w:rsidRPr="00A938A4">
        <w:rPr>
          <w:rFonts w:ascii="Arial" w:eastAsia="Times New Roman" w:hAnsi="Arial" w:cs="Arial"/>
          <w:color w:val="000000"/>
        </w:rPr>
        <w:t xml:space="preserve">, pubblicato dalla </w:t>
      </w:r>
      <w:r w:rsidRPr="00A938A4">
        <w:rPr>
          <w:rFonts w:ascii="Arial" w:eastAsia="Times New Roman" w:hAnsi="Arial" w:cs="Arial"/>
          <w:b/>
          <w:bCs/>
          <w:color w:val="000000"/>
        </w:rPr>
        <w:t>Fondazione Nazionale di Ricerca dei Commercialisti</w:t>
      </w:r>
      <w:r w:rsidRPr="00A938A4">
        <w:rPr>
          <w:rFonts w:ascii="Arial" w:eastAsia="Times New Roman" w:hAnsi="Arial" w:cs="Arial"/>
          <w:color w:val="000000"/>
        </w:rPr>
        <w:t>. Un dato particolarmente significativo se si considera che, nello stesso periodo, il</w:t>
      </w:r>
      <w:r w:rsidRPr="00A938A4">
        <w:rPr>
          <w:rFonts w:ascii="Arial" w:eastAsia="Times New Roman" w:hAnsi="Arial" w:cs="Arial"/>
          <w:b/>
          <w:bCs/>
          <w:color w:val="000000"/>
        </w:rPr>
        <w:t xml:space="preserve"> PIL nominale</w:t>
      </w:r>
      <w:r w:rsidRPr="00A938A4">
        <w:rPr>
          <w:rFonts w:ascii="Arial" w:eastAsia="Times New Roman" w:hAnsi="Arial" w:cs="Arial"/>
          <w:color w:val="000000"/>
        </w:rPr>
        <w:t xml:space="preserve"> </w:t>
      </w:r>
      <w:r w:rsidRPr="00A938A4">
        <w:rPr>
          <w:rFonts w:ascii="Arial" w:eastAsia="Times New Roman" w:hAnsi="Arial" w:cs="Arial"/>
          <w:b/>
          <w:bCs/>
          <w:color w:val="000000"/>
        </w:rPr>
        <w:t>pro-capite</w:t>
      </w:r>
      <w:r w:rsidRPr="00A938A4">
        <w:rPr>
          <w:rFonts w:ascii="Arial" w:eastAsia="Times New Roman" w:hAnsi="Arial" w:cs="Arial"/>
          <w:color w:val="000000"/>
        </w:rPr>
        <w:t xml:space="preserve"> è cresciuto del </w:t>
      </w:r>
      <w:r w:rsidRPr="00A938A4">
        <w:rPr>
          <w:rFonts w:ascii="Arial" w:eastAsia="Times New Roman" w:hAnsi="Arial" w:cs="Arial"/>
          <w:b/>
          <w:bCs/>
          <w:color w:val="000000"/>
        </w:rPr>
        <w:t xml:space="preserve">2,8% </w:t>
      </w:r>
      <w:r w:rsidRPr="00A938A4">
        <w:rPr>
          <w:rFonts w:ascii="Arial" w:eastAsia="Times New Roman" w:hAnsi="Arial" w:cs="Arial"/>
          <w:color w:val="000000"/>
        </w:rPr>
        <w:t>e l'</w:t>
      </w:r>
      <w:r w:rsidRPr="00A938A4">
        <w:rPr>
          <w:rFonts w:ascii="Arial" w:eastAsia="Times New Roman" w:hAnsi="Arial" w:cs="Arial"/>
          <w:b/>
          <w:bCs/>
          <w:color w:val="000000"/>
        </w:rPr>
        <w:t>inflazione</w:t>
      </w:r>
      <w:r w:rsidRPr="00A938A4">
        <w:rPr>
          <w:rFonts w:ascii="Arial" w:eastAsia="Times New Roman" w:hAnsi="Arial" w:cs="Arial"/>
          <w:color w:val="000000"/>
        </w:rPr>
        <w:t xml:space="preserve"> si è attestata all'</w:t>
      </w:r>
      <w:r w:rsidRPr="00A938A4">
        <w:rPr>
          <w:rFonts w:ascii="Arial" w:eastAsia="Times New Roman" w:hAnsi="Arial" w:cs="Arial"/>
          <w:b/>
          <w:bCs/>
          <w:color w:val="000000"/>
        </w:rPr>
        <w:t>1,2%</w:t>
      </w:r>
      <w:r w:rsidRPr="00A938A4">
        <w:rPr>
          <w:rFonts w:ascii="Arial" w:eastAsia="Times New Roman" w:hAnsi="Arial" w:cs="Arial"/>
          <w:color w:val="000000"/>
        </w:rPr>
        <w:t xml:space="preserve">, evidenziando una performance della professione </w:t>
      </w:r>
      <w:r w:rsidRPr="00A938A4">
        <w:rPr>
          <w:rFonts w:ascii="Arial" w:eastAsia="Times New Roman" w:hAnsi="Arial" w:cs="Arial"/>
          <w:b/>
          <w:bCs/>
          <w:color w:val="000000"/>
        </w:rPr>
        <w:t>nettamente superiore</w:t>
      </w:r>
      <w:r w:rsidRPr="00A938A4">
        <w:rPr>
          <w:rFonts w:ascii="Arial" w:eastAsia="Times New Roman" w:hAnsi="Arial" w:cs="Arial"/>
          <w:color w:val="000000"/>
        </w:rPr>
        <w:t xml:space="preserve"> alla dinamica generale dell'economia.</w:t>
      </w:r>
    </w:p>
    <w:p w14:paraId="16B89E4B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> </w:t>
      </w:r>
    </w:p>
    <w:p w14:paraId="439D5500" w14:textId="60212FA1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 xml:space="preserve">L'analisi conferma inoltre la </w:t>
      </w:r>
      <w:r w:rsidRPr="00A938A4">
        <w:rPr>
          <w:rFonts w:ascii="Arial" w:eastAsia="Times New Roman" w:hAnsi="Arial" w:cs="Arial"/>
          <w:b/>
          <w:bCs/>
          <w:color w:val="000000"/>
        </w:rPr>
        <w:t>crescita del reddito professionale</w:t>
      </w:r>
      <w:r w:rsidRPr="00A938A4">
        <w:rPr>
          <w:rFonts w:ascii="Arial" w:eastAsia="Times New Roman" w:hAnsi="Arial" w:cs="Arial"/>
          <w:color w:val="000000"/>
        </w:rPr>
        <w:t xml:space="preserve"> nelle due componenti storiche della categoria, seppure in maniera </w:t>
      </w:r>
      <w:r w:rsidR="00B226FF">
        <w:rPr>
          <w:rFonts w:ascii="Arial" w:eastAsia="Times New Roman" w:hAnsi="Arial" w:cs="Arial"/>
          <w:color w:val="000000"/>
        </w:rPr>
        <w:t>d</w:t>
      </w:r>
      <w:r w:rsidRPr="00A938A4">
        <w:rPr>
          <w:rFonts w:ascii="Arial" w:eastAsia="Times New Roman" w:hAnsi="Arial" w:cs="Arial"/>
          <w:color w:val="000000"/>
        </w:rPr>
        <w:t xml:space="preserve">iversa. Nel 2025 il reddito medio degli iscritti alla </w:t>
      </w:r>
      <w:r w:rsidRPr="00A938A4">
        <w:rPr>
          <w:rFonts w:ascii="Arial" w:eastAsia="Times New Roman" w:hAnsi="Arial" w:cs="Arial"/>
          <w:b/>
          <w:bCs/>
          <w:color w:val="000000"/>
        </w:rPr>
        <w:t>Cassa dei Dottori Commercialisti</w:t>
      </w:r>
      <w:r w:rsidRPr="00A938A4">
        <w:rPr>
          <w:rFonts w:ascii="Arial" w:eastAsia="Times New Roman" w:hAnsi="Arial" w:cs="Arial"/>
          <w:color w:val="000000"/>
        </w:rPr>
        <w:t xml:space="preserve"> è aumentato del </w:t>
      </w:r>
      <w:r w:rsidRPr="00A938A4">
        <w:rPr>
          <w:rFonts w:ascii="Arial" w:eastAsia="Times New Roman" w:hAnsi="Arial" w:cs="Arial"/>
          <w:b/>
          <w:bCs/>
          <w:color w:val="000000"/>
        </w:rPr>
        <w:t>9,3%</w:t>
      </w:r>
      <w:r w:rsidRPr="00A938A4">
        <w:rPr>
          <w:rFonts w:ascii="Arial" w:eastAsia="Times New Roman" w:hAnsi="Arial" w:cs="Arial"/>
          <w:color w:val="000000"/>
        </w:rPr>
        <w:t xml:space="preserve">, mentre quello degli iscritti alla </w:t>
      </w:r>
      <w:r w:rsidRPr="00A938A4">
        <w:rPr>
          <w:rFonts w:ascii="Arial" w:eastAsia="Times New Roman" w:hAnsi="Arial" w:cs="Arial"/>
          <w:b/>
          <w:bCs/>
          <w:color w:val="000000"/>
        </w:rPr>
        <w:t>Cassa Ragionieri</w:t>
      </w:r>
      <w:r w:rsidRPr="00A938A4">
        <w:rPr>
          <w:rFonts w:ascii="Arial" w:eastAsia="Times New Roman" w:hAnsi="Arial" w:cs="Arial"/>
          <w:color w:val="000000"/>
        </w:rPr>
        <w:t xml:space="preserve"> è salito del</w:t>
      </w:r>
      <w:r w:rsidRPr="00A938A4">
        <w:rPr>
          <w:rFonts w:ascii="Arial" w:eastAsia="Times New Roman" w:hAnsi="Arial" w:cs="Arial"/>
          <w:b/>
          <w:bCs/>
          <w:color w:val="000000"/>
        </w:rPr>
        <w:t xml:space="preserve"> 4,1%</w:t>
      </w:r>
      <w:r w:rsidRPr="00A938A4">
        <w:rPr>
          <w:rFonts w:ascii="Arial" w:eastAsia="Times New Roman" w:hAnsi="Arial" w:cs="Arial"/>
          <w:color w:val="000000"/>
        </w:rPr>
        <w:t xml:space="preserve">. Dal 2010 a oggi, il </w:t>
      </w:r>
      <w:r w:rsidRPr="00A938A4">
        <w:rPr>
          <w:rFonts w:ascii="Arial" w:eastAsia="Times New Roman" w:hAnsi="Arial" w:cs="Arial"/>
          <w:b/>
          <w:bCs/>
          <w:color w:val="000000"/>
        </w:rPr>
        <w:t>reddito medio della categoria</w:t>
      </w:r>
      <w:r w:rsidRPr="00A938A4">
        <w:rPr>
          <w:rFonts w:ascii="Arial" w:eastAsia="Times New Roman" w:hAnsi="Arial" w:cs="Arial"/>
          <w:color w:val="000000"/>
        </w:rPr>
        <w:t xml:space="preserve"> è cresciuto complessivamente </w:t>
      </w:r>
      <w:r w:rsidRPr="00A938A4">
        <w:rPr>
          <w:rFonts w:ascii="Arial" w:eastAsia="Times New Roman" w:hAnsi="Arial" w:cs="Arial"/>
          <w:b/>
          <w:bCs/>
          <w:color w:val="000000"/>
        </w:rPr>
        <w:t>di oltre il 50%</w:t>
      </w:r>
      <w:r w:rsidRPr="00A938A4">
        <w:rPr>
          <w:rFonts w:ascii="Arial" w:eastAsia="Times New Roman" w:hAnsi="Arial" w:cs="Arial"/>
          <w:color w:val="000000"/>
        </w:rPr>
        <w:t>, segnale di una progressiva espansione del volume d'affari e del peso economico della professione.</w:t>
      </w:r>
    </w:p>
    <w:p w14:paraId="05D2ABDB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> </w:t>
      </w:r>
    </w:p>
    <w:p w14:paraId="7E17B5A4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 xml:space="preserve">Tra gli elementi più incoraggianti emerge il </w:t>
      </w:r>
      <w:r w:rsidRPr="00A938A4">
        <w:rPr>
          <w:rFonts w:ascii="Arial" w:eastAsia="Times New Roman" w:hAnsi="Arial" w:cs="Arial"/>
          <w:b/>
          <w:bCs/>
          <w:color w:val="000000"/>
        </w:rPr>
        <w:t>ritorno alla crescita dei praticanti</w:t>
      </w:r>
      <w:r w:rsidRPr="00A938A4">
        <w:rPr>
          <w:rFonts w:ascii="Arial" w:eastAsia="Times New Roman" w:hAnsi="Arial" w:cs="Arial"/>
          <w:color w:val="000000"/>
        </w:rPr>
        <w:t xml:space="preserve">. Dopo anni di difficoltà, nel 2025 i tirocinanti iscritti presso i 132 Ordini territoriali sono </w:t>
      </w:r>
      <w:r w:rsidRPr="00A938A4">
        <w:rPr>
          <w:rFonts w:ascii="Arial" w:eastAsia="Times New Roman" w:hAnsi="Arial" w:cs="Arial"/>
          <w:b/>
          <w:bCs/>
          <w:color w:val="000000"/>
        </w:rPr>
        <w:t>aumentati del 4,2%,</w:t>
      </w:r>
      <w:r w:rsidRPr="00A938A4">
        <w:rPr>
          <w:rFonts w:ascii="Arial" w:eastAsia="Times New Roman" w:hAnsi="Arial" w:cs="Arial"/>
          <w:color w:val="000000"/>
        </w:rPr>
        <w:t xml:space="preserve"> raggiungendo quota </w:t>
      </w:r>
      <w:r w:rsidRPr="00A938A4">
        <w:rPr>
          <w:rFonts w:ascii="Arial" w:eastAsia="Times New Roman" w:hAnsi="Arial" w:cs="Arial"/>
          <w:b/>
          <w:bCs/>
          <w:color w:val="000000"/>
        </w:rPr>
        <w:t>11.507</w:t>
      </w:r>
      <w:r w:rsidRPr="00A938A4">
        <w:rPr>
          <w:rFonts w:ascii="Arial" w:eastAsia="Times New Roman" w:hAnsi="Arial" w:cs="Arial"/>
          <w:color w:val="000000"/>
        </w:rPr>
        <w:t>.</w:t>
      </w:r>
    </w:p>
    <w:p w14:paraId="6EA0408C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> </w:t>
      </w:r>
    </w:p>
    <w:p w14:paraId="14D93153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 xml:space="preserve">Prosegue inoltre l'espansione delle </w:t>
      </w:r>
      <w:r w:rsidRPr="00A938A4">
        <w:rPr>
          <w:rFonts w:ascii="Arial" w:eastAsia="Times New Roman" w:hAnsi="Arial" w:cs="Arial"/>
          <w:b/>
          <w:bCs/>
          <w:color w:val="000000"/>
        </w:rPr>
        <w:t>Società tra Professionisti</w:t>
      </w:r>
      <w:r w:rsidRPr="00A938A4">
        <w:rPr>
          <w:rFonts w:ascii="Arial" w:eastAsia="Times New Roman" w:hAnsi="Arial" w:cs="Arial"/>
          <w:color w:val="000000"/>
        </w:rPr>
        <w:t xml:space="preserve">, cresciute del </w:t>
      </w:r>
      <w:r w:rsidRPr="00A938A4">
        <w:rPr>
          <w:rFonts w:ascii="Arial" w:eastAsia="Times New Roman" w:hAnsi="Arial" w:cs="Arial"/>
          <w:b/>
          <w:bCs/>
          <w:color w:val="000000"/>
        </w:rPr>
        <w:t>9,2%</w:t>
      </w:r>
      <w:r w:rsidRPr="00A938A4">
        <w:rPr>
          <w:rFonts w:ascii="Arial" w:eastAsia="Times New Roman" w:hAnsi="Arial" w:cs="Arial"/>
          <w:color w:val="000000"/>
        </w:rPr>
        <w:t xml:space="preserve"> rispetto all'anno precedente, confermando l'evoluzione dei modelli organizzativi verso strutture professionali sempre più integrate, multidisciplinari e orientate all'innovazione.</w:t>
      </w:r>
    </w:p>
    <w:p w14:paraId="6B45F75F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> </w:t>
      </w:r>
    </w:p>
    <w:p w14:paraId="762FD685" w14:textId="00F93A80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 xml:space="preserve">Il rapporto evidenzia tuttavia anche alcune </w:t>
      </w:r>
      <w:r w:rsidRPr="00A938A4">
        <w:rPr>
          <w:rFonts w:ascii="Arial" w:eastAsia="Times New Roman" w:hAnsi="Arial" w:cs="Arial"/>
          <w:b/>
          <w:bCs/>
          <w:color w:val="000000"/>
        </w:rPr>
        <w:t>criticità</w:t>
      </w:r>
      <w:r w:rsidRPr="00A938A4">
        <w:rPr>
          <w:rFonts w:ascii="Arial" w:eastAsia="Times New Roman" w:hAnsi="Arial" w:cs="Arial"/>
          <w:color w:val="000000"/>
        </w:rPr>
        <w:t xml:space="preserve">. A fine 2025 gli iscritti all'Albo risultano pari a </w:t>
      </w:r>
      <w:r w:rsidRPr="00A938A4">
        <w:rPr>
          <w:rFonts w:ascii="Arial" w:eastAsia="Times New Roman" w:hAnsi="Arial" w:cs="Arial"/>
          <w:b/>
          <w:bCs/>
          <w:color w:val="000000"/>
        </w:rPr>
        <w:t>119.050</w:t>
      </w:r>
      <w:r w:rsidRPr="00A938A4">
        <w:rPr>
          <w:rFonts w:ascii="Arial" w:eastAsia="Times New Roman" w:hAnsi="Arial" w:cs="Arial"/>
          <w:color w:val="000000"/>
        </w:rPr>
        <w:t xml:space="preserve">, con una </w:t>
      </w:r>
      <w:r w:rsidRPr="00A938A4">
        <w:rPr>
          <w:rFonts w:ascii="Arial" w:eastAsia="Times New Roman" w:hAnsi="Arial" w:cs="Arial"/>
          <w:b/>
          <w:bCs/>
          <w:color w:val="000000"/>
        </w:rPr>
        <w:t>diminuzione dello 0,8%</w:t>
      </w:r>
      <w:r w:rsidRPr="00A938A4">
        <w:rPr>
          <w:rFonts w:ascii="Arial" w:eastAsia="Times New Roman" w:hAnsi="Arial" w:cs="Arial"/>
          <w:color w:val="000000"/>
        </w:rPr>
        <w:t xml:space="preserve"> rispetto all'anno precedente. Il calo è riconducibile soprattutto alla </w:t>
      </w:r>
      <w:r w:rsidRPr="00A938A4">
        <w:rPr>
          <w:rFonts w:ascii="Arial" w:eastAsia="Times New Roman" w:hAnsi="Arial" w:cs="Arial"/>
          <w:b/>
          <w:bCs/>
          <w:color w:val="000000"/>
        </w:rPr>
        <w:t>riduzione delle nuove iscrizioni</w:t>
      </w:r>
      <w:r w:rsidRPr="00A938A4">
        <w:rPr>
          <w:rFonts w:ascii="Arial" w:eastAsia="Times New Roman" w:hAnsi="Arial" w:cs="Arial"/>
          <w:color w:val="000000"/>
        </w:rPr>
        <w:t xml:space="preserve">, </w:t>
      </w:r>
      <w:r w:rsidRPr="00A938A4">
        <w:rPr>
          <w:rFonts w:ascii="Arial" w:eastAsia="Times New Roman" w:hAnsi="Arial" w:cs="Arial"/>
          <w:b/>
          <w:bCs/>
          <w:color w:val="000000"/>
        </w:rPr>
        <w:t>diminuite del 27,3%,</w:t>
      </w:r>
      <w:r w:rsidRPr="00A938A4">
        <w:rPr>
          <w:rFonts w:ascii="Arial" w:eastAsia="Times New Roman" w:hAnsi="Arial" w:cs="Arial"/>
          <w:color w:val="000000"/>
        </w:rPr>
        <w:t xml:space="preserve"> fenomeno che riflette cambiamenti strutturali del mercato del lavoro.</w:t>
      </w:r>
    </w:p>
    <w:p w14:paraId="24459272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> </w:t>
      </w:r>
    </w:p>
    <w:p w14:paraId="1C0FE912" w14:textId="77777777" w:rsidR="00A938A4" w:rsidRPr="00A938A4" w:rsidRDefault="00A938A4" w:rsidP="00A938A4">
      <w:pPr>
        <w:jc w:val="both"/>
        <w:rPr>
          <w:rFonts w:ascii="Arial" w:eastAsia="Times New Roman" w:hAnsi="Arial" w:cs="Arial"/>
          <w:color w:val="000000"/>
        </w:rPr>
      </w:pPr>
      <w:r w:rsidRPr="00A938A4">
        <w:rPr>
          <w:rFonts w:ascii="Arial" w:eastAsia="Times New Roman" w:hAnsi="Arial" w:cs="Arial"/>
          <w:color w:val="000000"/>
        </w:rPr>
        <w:t xml:space="preserve">Sul piano </w:t>
      </w:r>
      <w:r w:rsidRPr="00A938A4">
        <w:rPr>
          <w:rFonts w:ascii="Arial" w:eastAsia="Times New Roman" w:hAnsi="Arial" w:cs="Arial"/>
          <w:b/>
          <w:bCs/>
          <w:color w:val="000000"/>
        </w:rPr>
        <w:t>demografico</w:t>
      </w:r>
      <w:r w:rsidRPr="00A938A4">
        <w:rPr>
          <w:rFonts w:ascii="Arial" w:eastAsia="Times New Roman" w:hAnsi="Arial" w:cs="Arial"/>
          <w:color w:val="000000"/>
        </w:rPr>
        <w:t xml:space="preserve">, la </w:t>
      </w:r>
      <w:r w:rsidRPr="00A938A4">
        <w:rPr>
          <w:rFonts w:ascii="Arial" w:eastAsia="Times New Roman" w:hAnsi="Arial" w:cs="Arial"/>
          <w:b/>
          <w:bCs/>
          <w:color w:val="000000"/>
        </w:rPr>
        <w:t>presenza femminile</w:t>
      </w:r>
      <w:r w:rsidRPr="00A938A4">
        <w:rPr>
          <w:rFonts w:ascii="Arial" w:eastAsia="Times New Roman" w:hAnsi="Arial" w:cs="Arial"/>
          <w:color w:val="000000"/>
        </w:rPr>
        <w:t xml:space="preserve"> resta stabile al </w:t>
      </w:r>
      <w:r w:rsidRPr="00A938A4">
        <w:rPr>
          <w:rFonts w:ascii="Arial" w:eastAsia="Times New Roman" w:hAnsi="Arial" w:cs="Arial"/>
          <w:b/>
          <w:bCs/>
          <w:color w:val="000000"/>
        </w:rPr>
        <w:t>34%</w:t>
      </w:r>
      <w:r w:rsidRPr="00A938A4">
        <w:rPr>
          <w:rFonts w:ascii="Arial" w:eastAsia="Times New Roman" w:hAnsi="Arial" w:cs="Arial"/>
          <w:color w:val="000000"/>
        </w:rPr>
        <w:t xml:space="preserve"> degli iscritti. Si registra anche una </w:t>
      </w:r>
      <w:r w:rsidRPr="00A938A4">
        <w:rPr>
          <w:rFonts w:ascii="Arial" w:eastAsia="Times New Roman" w:hAnsi="Arial" w:cs="Arial"/>
          <w:b/>
          <w:bCs/>
          <w:color w:val="000000"/>
        </w:rPr>
        <w:t>riduzione</w:t>
      </w:r>
      <w:r w:rsidRPr="00A938A4">
        <w:rPr>
          <w:rFonts w:ascii="Arial" w:eastAsia="Times New Roman" w:hAnsi="Arial" w:cs="Arial"/>
          <w:color w:val="000000"/>
        </w:rPr>
        <w:t xml:space="preserve"> della quota di professionisti </w:t>
      </w:r>
      <w:r w:rsidRPr="00A938A4">
        <w:rPr>
          <w:rFonts w:ascii="Arial" w:eastAsia="Times New Roman" w:hAnsi="Arial" w:cs="Arial"/>
          <w:b/>
          <w:bCs/>
          <w:color w:val="000000"/>
        </w:rPr>
        <w:t xml:space="preserve">under 40 </w:t>
      </w:r>
      <w:r w:rsidRPr="00A938A4">
        <w:rPr>
          <w:rFonts w:ascii="Arial" w:eastAsia="Times New Roman" w:hAnsi="Arial" w:cs="Arial"/>
          <w:color w:val="000000"/>
        </w:rPr>
        <w:t xml:space="preserve">e un </w:t>
      </w:r>
      <w:r w:rsidRPr="00A938A4">
        <w:rPr>
          <w:rFonts w:ascii="Arial" w:eastAsia="Times New Roman" w:hAnsi="Arial" w:cs="Arial"/>
          <w:b/>
          <w:bCs/>
          <w:color w:val="000000"/>
        </w:rPr>
        <w:t xml:space="preserve">aumento </w:t>
      </w:r>
      <w:r w:rsidRPr="00A938A4">
        <w:rPr>
          <w:rFonts w:ascii="Arial" w:eastAsia="Times New Roman" w:hAnsi="Arial" w:cs="Arial"/>
          <w:color w:val="000000"/>
        </w:rPr>
        <w:t xml:space="preserve">degli </w:t>
      </w:r>
      <w:r w:rsidRPr="00A938A4">
        <w:rPr>
          <w:rFonts w:ascii="Arial" w:eastAsia="Times New Roman" w:hAnsi="Arial" w:cs="Arial"/>
          <w:b/>
          <w:bCs/>
          <w:color w:val="000000"/>
        </w:rPr>
        <w:t>over 60</w:t>
      </w:r>
      <w:r w:rsidRPr="00A938A4">
        <w:rPr>
          <w:rFonts w:ascii="Arial" w:eastAsia="Times New Roman" w:hAnsi="Arial" w:cs="Arial"/>
          <w:color w:val="000000"/>
        </w:rPr>
        <w:t>.</w:t>
      </w:r>
    </w:p>
    <w:p w14:paraId="296D2039" w14:textId="77777777" w:rsidR="00A938A4" w:rsidRDefault="00A938A4" w:rsidP="00A938A4">
      <w:pPr>
        <w:rPr>
          <w:rFonts w:eastAsia="Times New Roman"/>
          <w:color w:val="000000"/>
        </w:rPr>
      </w:pPr>
    </w:p>
    <w:p w14:paraId="2CAB52C7" w14:textId="2ADC0F1B" w:rsidR="00252C63" w:rsidRPr="00A63EEF" w:rsidRDefault="00252C63" w:rsidP="00A938A4">
      <w:pPr>
        <w:jc w:val="center"/>
        <w:rPr>
          <w:rFonts w:ascii="Arial" w:hAnsi="Arial" w:cs="Arial"/>
          <w:sz w:val="23"/>
          <w:szCs w:val="23"/>
        </w:rPr>
      </w:pPr>
    </w:p>
    <w:sectPr w:rsidR="00252C63" w:rsidRPr="00A63EE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08D52" w14:textId="77777777" w:rsidR="00E15515" w:rsidRDefault="00E15515" w:rsidP="00A57D38">
      <w:r>
        <w:separator/>
      </w:r>
    </w:p>
  </w:endnote>
  <w:endnote w:type="continuationSeparator" w:id="0">
    <w:p w14:paraId="3C871269" w14:textId="77777777" w:rsidR="00E15515" w:rsidRDefault="00E15515" w:rsidP="00A5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55CE3" w14:textId="77777777" w:rsidR="00E15515" w:rsidRDefault="00E15515" w:rsidP="00A57D38">
      <w:r>
        <w:separator/>
      </w:r>
    </w:p>
  </w:footnote>
  <w:footnote w:type="continuationSeparator" w:id="0">
    <w:p w14:paraId="193D9AF5" w14:textId="77777777" w:rsidR="00E15515" w:rsidRDefault="00E15515" w:rsidP="00A5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010A1" w14:textId="54DE1EA9" w:rsidR="00A57D38" w:rsidRDefault="00A57D38" w:rsidP="00A57D38">
    <w:pPr>
      <w:pStyle w:val="Intestazione"/>
      <w:jc w:val="center"/>
    </w:pPr>
    <w:r w:rsidRPr="00F6138D">
      <w:rPr>
        <w:noProof/>
        <w:lang w:eastAsia="it-IT"/>
      </w:rPr>
      <w:drawing>
        <wp:inline distT="0" distB="0" distL="0" distR="0" wp14:anchorId="45169683" wp14:editId="3070078B">
          <wp:extent cx="2314575" cy="781050"/>
          <wp:effectExtent l="0" t="0" r="0" b="0"/>
          <wp:docPr id="1109192327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8E96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16C4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792339"/>
    <w:multiLevelType w:val="hybridMultilevel"/>
    <w:tmpl w:val="84D8D5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96C90"/>
    <w:multiLevelType w:val="multilevel"/>
    <w:tmpl w:val="9B3CE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eastAsiaTheme="majorEastAsia" w:cstheme="majorBidi" w:hint="default"/>
        <w:b/>
        <w:color w:val="C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 w:hint="default"/>
        <w:b/>
        <w:color w:val="C0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ajorEastAsia" w:cstheme="majorBidi" w:hint="default"/>
        <w:b/>
        <w:color w:val="C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 w:hint="default"/>
        <w:b/>
        <w:color w:val="C0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ajorEastAsia" w:cstheme="majorBidi" w:hint="default"/>
        <w:b/>
        <w:color w:val="C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 w:hint="default"/>
        <w:b/>
        <w:color w:val="C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ajorEastAsia" w:cstheme="majorBidi" w:hint="default"/>
        <w:b/>
        <w:color w:val="C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theme="majorBidi" w:hint="default"/>
        <w:b/>
        <w:color w:val="C00000"/>
        <w:sz w:val="28"/>
      </w:rPr>
    </w:lvl>
  </w:abstractNum>
  <w:abstractNum w:abstractNumId="4" w15:restartNumberingAfterBreak="0">
    <w:nsid w:val="47000486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F081D66"/>
    <w:multiLevelType w:val="hybridMultilevel"/>
    <w:tmpl w:val="82520928"/>
    <w:lvl w:ilvl="0" w:tplc="F8A0A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22285">
    <w:abstractNumId w:val="1"/>
  </w:num>
  <w:num w:numId="2" w16cid:durableId="47654393">
    <w:abstractNumId w:val="4"/>
  </w:num>
  <w:num w:numId="3" w16cid:durableId="149905896">
    <w:abstractNumId w:val="0"/>
  </w:num>
  <w:num w:numId="4" w16cid:durableId="166792410">
    <w:abstractNumId w:val="2"/>
  </w:num>
  <w:num w:numId="5" w16cid:durableId="788939050">
    <w:abstractNumId w:val="3"/>
  </w:num>
  <w:num w:numId="6" w16cid:durableId="1194536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20"/>
    <w:rsid w:val="000130DF"/>
    <w:rsid w:val="00030943"/>
    <w:rsid w:val="00045777"/>
    <w:rsid w:val="00051125"/>
    <w:rsid w:val="000545A9"/>
    <w:rsid w:val="00062DEE"/>
    <w:rsid w:val="00075062"/>
    <w:rsid w:val="000826A4"/>
    <w:rsid w:val="0009344A"/>
    <w:rsid w:val="00097922"/>
    <w:rsid w:val="000B02CC"/>
    <w:rsid w:val="000C31DE"/>
    <w:rsid w:val="000D5879"/>
    <w:rsid w:val="000E6DC6"/>
    <w:rsid w:val="000F7086"/>
    <w:rsid w:val="001037EB"/>
    <w:rsid w:val="00105846"/>
    <w:rsid w:val="00132752"/>
    <w:rsid w:val="00135FBD"/>
    <w:rsid w:val="00143655"/>
    <w:rsid w:val="00155109"/>
    <w:rsid w:val="001652C1"/>
    <w:rsid w:val="00172740"/>
    <w:rsid w:val="00183498"/>
    <w:rsid w:val="00190E59"/>
    <w:rsid w:val="001972E0"/>
    <w:rsid w:val="001A20A0"/>
    <w:rsid w:val="001A7939"/>
    <w:rsid w:val="001B1AFB"/>
    <w:rsid w:val="001C5FD9"/>
    <w:rsid w:val="001D4003"/>
    <w:rsid w:val="001D790F"/>
    <w:rsid w:val="001E4D7A"/>
    <w:rsid w:val="001E4EAF"/>
    <w:rsid w:val="00227893"/>
    <w:rsid w:val="002317FA"/>
    <w:rsid w:val="00234E76"/>
    <w:rsid w:val="00240D5C"/>
    <w:rsid w:val="0024138A"/>
    <w:rsid w:val="00250119"/>
    <w:rsid w:val="00252C63"/>
    <w:rsid w:val="00257F8B"/>
    <w:rsid w:val="002B1079"/>
    <w:rsid w:val="002B12B2"/>
    <w:rsid w:val="002D4594"/>
    <w:rsid w:val="002D511F"/>
    <w:rsid w:val="002D6A0F"/>
    <w:rsid w:val="002F42EA"/>
    <w:rsid w:val="00300C69"/>
    <w:rsid w:val="00301866"/>
    <w:rsid w:val="00305BA0"/>
    <w:rsid w:val="003069D2"/>
    <w:rsid w:val="00322115"/>
    <w:rsid w:val="0032342A"/>
    <w:rsid w:val="00333404"/>
    <w:rsid w:val="00334C03"/>
    <w:rsid w:val="003359F4"/>
    <w:rsid w:val="00340860"/>
    <w:rsid w:val="003507F7"/>
    <w:rsid w:val="0036302D"/>
    <w:rsid w:val="0036328A"/>
    <w:rsid w:val="00364335"/>
    <w:rsid w:val="003739DF"/>
    <w:rsid w:val="003754B7"/>
    <w:rsid w:val="00376FF5"/>
    <w:rsid w:val="003A240E"/>
    <w:rsid w:val="003A4F3F"/>
    <w:rsid w:val="003A5278"/>
    <w:rsid w:val="003A57DE"/>
    <w:rsid w:val="003B5C48"/>
    <w:rsid w:val="003B5D81"/>
    <w:rsid w:val="003B6B20"/>
    <w:rsid w:val="003B7039"/>
    <w:rsid w:val="003C5158"/>
    <w:rsid w:val="003C66EF"/>
    <w:rsid w:val="003C6E20"/>
    <w:rsid w:val="003D03AB"/>
    <w:rsid w:val="003F5D99"/>
    <w:rsid w:val="003F60C1"/>
    <w:rsid w:val="004142E2"/>
    <w:rsid w:val="00417F1A"/>
    <w:rsid w:val="004358CF"/>
    <w:rsid w:val="004415FD"/>
    <w:rsid w:val="00444E0D"/>
    <w:rsid w:val="004466ED"/>
    <w:rsid w:val="004477F5"/>
    <w:rsid w:val="00460F9D"/>
    <w:rsid w:val="00466C10"/>
    <w:rsid w:val="004743EC"/>
    <w:rsid w:val="00474973"/>
    <w:rsid w:val="004A3FCB"/>
    <w:rsid w:val="004A68CB"/>
    <w:rsid w:val="004B773B"/>
    <w:rsid w:val="004D3C42"/>
    <w:rsid w:val="004D68FF"/>
    <w:rsid w:val="004E2BA6"/>
    <w:rsid w:val="004F04CB"/>
    <w:rsid w:val="004F0DAA"/>
    <w:rsid w:val="004F4B30"/>
    <w:rsid w:val="005051A3"/>
    <w:rsid w:val="00522640"/>
    <w:rsid w:val="005252E4"/>
    <w:rsid w:val="005315AC"/>
    <w:rsid w:val="00531A6D"/>
    <w:rsid w:val="00532E2E"/>
    <w:rsid w:val="005416BD"/>
    <w:rsid w:val="00543A7A"/>
    <w:rsid w:val="0056307D"/>
    <w:rsid w:val="00566381"/>
    <w:rsid w:val="0059245B"/>
    <w:rsid w:val="00592D37"/>
    <w:rsid w:val="005A02E4"/>
    <w:rsid w:val="005B33D7"/>
    <w:rsid w:val="005B48CD"/>
    <w:rsid w:val="005C0771"/>
    <w:rsid w:val="005C60C2"/>
    <w:rsid w:val="005D5341"/>
    <w:rsid w:val="005D5A71"/>
    <w:rsid w:val="005F0794"/>
    <w:rsid w:val="00600B5B"/>
    <w:rsid w:val="00604303"/>
    <w:rsid w:val="00607179"/>
    <w:rsid w:val="00617B63"/>
    <w:rsid w:val="00620A18"/>
    <w:rsid w:val="00620DFD"/>
    <w:rsid w:val="0065709F"/>
    <w:rsid w:val="00664CC2"/>
    <w:rsid w:val="00672201"/>
    <w:rsid w:val="00677E20"/>
    <w:rsid w:val="00683886"/>
    <w:rsid w:val="0068490D"/>
    <w:rsid w:val="006A05D9"/>
    <w:rsid w:val="006A7BC4"/>
    <w:rsid w:val="006C2AEE"/>
    <w:rsid w:val="006C2B00"/>
    <w:rsid w:val="006C52E6"/>
    <w:rsid w:val="006D1C2D"/>
    <w:rsid w:val="006E6C27"/>
    <w:rsid w:val="00700600"/>
    <w:rsid w:val="00711014"/>
    <w:rsid w:val="00713B6B"/>
    <w:rsid w:val="007157AE"/>
    <w:rsid w:val="00727620"/>
    <w:rsid w:val="00734297"/>
    <w:rsid w:val="007344D6"/>
    <w:rsid w:val="007353D2"/>
    <w:rsid w:val="00736E35"/>
    <w:rsid w:val="00737D15"/>
    <w:rsid w:val="0074402B"/>
    <w:rsid w:val="007A2BE9"/>
    <w:rsid w:val="007B3846"/>
    <w:rsid w:val="007C02D4"/>
    <w:rsid w:val="007D2A62"/>
    <w:rsid w:val="007D4B15"/>
    <w:rsid w:val="007D6512"/>
    <w:rsid w:val="007D75E7"/>
    <w:rsid w:val="007E0550"/>
    <w:rsid w:val="007E19CA"/>
    <w:rsid w:val="007E2E1A"/>
    <w:rsid w:val="008019E4"/>
    <w:rsid w:val="0080350A"/>
    <w:rsid w:val="00805810"/>
    <w:rsid w:val="00815597"/>
    <w:rsid w:val="00816ABC"/>
    <w:rsid w:val="00830EF3"/>
    <w:rsid w:val="00832D52"/>
    <w:rsid w:val="008405BB"/>
    <w:rsid w:val="008407D9"/>
    <w:rsid w:val="00846900"/>
    <w:rsid w:val="008650D5"/>
    <w:rsid w:val="008716CB"/>
    <w:rsid w:val="008A1C52"/>
    <w:rsid w:val="008B1373"/>
    <w:rsid w:val="008C4FA7"/>
    <w:rsid w:val="008C5196"/>
    <w:rsid w:val="008D603E"/>
    <w:rsid w:val="00901225"/>
    <w:rsid w:val="009112FE"/>
    <w:rsid w:val="0091579F"/>
    <w:rsid w:val="00916042"/>
    <w:rsid w:val="00933F3A"/>
    <w:rsid w:val="009371E2"/>
    <w:rsid w:val="00942931"/>
    <w:rsid w:val="009531F7"/>
    <w:rsid w:val="00963998"/>
    <w:rsid w:val="00987E6C"/>
    <w:rsid w:val="009A7F25"/>
    <w:rsid w:val="009B2452"/>
    <w:rsid w:val="009B3602"/>
    <w:rsid w:val="009B5326"/>
    <w:rsid w:val="009C2ED2"/>
    <w:rsid w:val="009C51CB"/>
    <w:rsid w:val="009D18F4"/>
    <w:rsid w:val="009D30A8"/>
    <w:rsid w:val="009D3ADB"/>
    <w:rsid w:val="009D6102"/>
    <w:rsid w:val="009E1E87"/>
    <w:rsid w:val="009F6EDC"/>
    <w:rsid w:val="00A06E00"/>
    <w:rsid w:val="00A1045D"/>
    <w:rsid w:val="00A1160C"/>
    <w:rsid w:val="00A1599B"/>
    <w:rsid w:val="00A2019D"/>
    <w:rsid w:val="00A4072E"/>
    <w:rsid w:val="00A520EC"/>
    <w:rsid w:val="00A5592D"/>
    <w:rsid w:val="00A57D38"/>
    <w:rsid w:val="00A63EEF"/>
    <w:rsid w:val="00A70B1B"/>
    <w:rsid w:val="00A714E6"/>
    <w:rsid w:val="00A72CF6"/>
    <w:rsid w:val="00A938A4"/>
    <w:rsid w:val="00AA3833"/>
    <w:rsid w:val="00AB1D99"/>
    <w:rsid w:val="00AC080F"/>
    <w:rsid w:val="00AC2390"/>
    <w:rsid w:val="00AF70DF"/>
    <w:rsid w:val="00AF759B"/>
    <w:rsid w:val="00B0182E"/>
    <w:rsid w:val="00B071DC"/>
    <w:rsid w:val="00B14C8A"/>
    <w:rsid w:val="00B226FF"/>
    <w:rsid w:val="00B30E54"/>
    <w:rsid w:val="00B3158D"/>
    <w:rsid w:val="00B33601"/>
    <w:rsid w:val="00B40AF8"/>
    <w:rsid w:val="00B51AF3"/>
    <w:rsid w:val="00B533A6"/>
    <w:rsid w:val="00B55508"/>
    <w:rsid w:val="00B619BC"/>
    <w:rsid w:val="00B92CAA"/>
    <w:rsid w:val="00BA4036"/>
    <w:rsid w:val="00BC5E0A"/>
    <w:rsid w:val="00BD28A3"/>
    <w:rsid w:val="00BD5638"/>
    <w:rsid w:val="00BD5BF3"/>
    <w:rsid w:val="00BE4889"/>
    <w:rsid w:val="00BE7D40"/>
    <w:rsid w:val="00BF587A"/>
    <w:rsid w:val="00C01BD2"/>
    <w:rsid w:val="00C16287"/>
    <w:rsid w:val="00C21195"/>
    <w:rsid w:val="00C33BF2"/>
    <w:rsid w:val="00C33EDC"/>
    <w:rsid w:val="00C442BB"/>
    <w:rsid w:val="00C54654"/>
    <w:rsid w:val="00C61F00"/>
    <w:rsid w:val="00C66826"/>
    <w:rsid w:val="00C73BC7"/>
    <w:rsid w:val="00C7553E"/>
    <w:rsid w:val="00C842DF"/>
    <w:rsid w:val="00C9654A"/>
    <w:rsid w:val="00C97980"/>
    <w:rsid w:val="00CB7284"/>
    <w:rsid w:val="00CC019A"/>
    <w:rsid w:val="00CC633C"/>
    <w:rsid w:val="00CE4415"/>
    <w:rsid w:val="00D34525"/>
    <w:rsid w:val="00D43CB8"/>
    <w:rsid w:val="00D43FC1"/>
    <w:rsid w:val="00D44529"/>
    <w:rsid w:val="00D4602D"/>
    <w:rsid w:val="00D548C8"/>
    <w:rsid w:val="00D5721B"/>
    <w:rsid w:val="00D617D0"/>
    <w:rsid w:val="00D7153D"/>
    <w:rsid w:val="00D715DB"/>
    <w:rsid w:val="00D934AF"/>
    <w:rsid w:val="00DB2438"/>
    <w:rsid w:val="00DB39BA"/>
    <w:rsid w:val="00DB59E2"/>
    <w:rsid w:val="00DD4BC0"/>
    <w:rsid w:val="00DE11D4"/>
    <w:rsid w:val="00DE44CE"/>
    <w:rsid w:val="00DF605A"/>
    <w:rsid w:val="00E0184B"/>
    <w:rsid w:val="00E03892"/>
    <w:rsid w:val="00E073A8"/>
    <w:rsid w:val="00E10210"/>
    <w:rsid w:val="00E14B67"/>
    <w:rsid w:val="00E15515"/>
    <w:rsid w:val="00E23CAA"/>
    <w:rsid w:val="00E240F1"/>
    <w:rsid w:val="00E31148"/>
    <w:rsid w:val="00E37634"/>
    <w:rsid w:val="00E57B15"/>
    <w:rsid w:val="00E63BA8"/>
    <w:rsid w:val="00E6449D"/>
    <w:rsid w:val="00E67397"/>
    <w:rsid w:val="00E70E38"/>
    <w:rsid w:val="00E72EA7"/>
    <w:rsid w:val="00E7604E"/>
    <w:rsid w:val="00E924B5"/>
    <w:rsid w:val="00EA565A"/>
    <w:rsid w:val="00EB3D57"/>
    <w:rsid w:val="00EC2817"/>
    <w:rsid w:val="00EC5830"/>
    <w:rsid w:val="00ED3141"/>
    <w:rsid w:val="00ED7DD3"/>
    <w:rsid w:val="00ED7FAF"/>
    <w:rsid w:val="00EF56BE"/>
    <w:rsid w:val="00EF7520"/>
    <w:rsid w:val="00F07F46"/>
    <w:rsid w:val="00F10465"/>
    <w:rsid w:val="00F1389A"/>
    <w:rsid w:val="00F16101"/>
    <w:rsid w:val="00F27538"/>
    <w:rsid w:val="00F36B16"/>
    <w:rsid w:val="00F51729"/>
    <w:rsid w:val="00F619BB"/>
    <w:rsid w:val="00F62CF1"/>
    <w:rsid w:val="00F67C19"/>
    <w:rsid w:val="00F75D1F"/>
    <w:rsid w:val="00F863C7"/>
    <w:rsid w:val="00FB03FF"/>
    <w:rsid w:val="00FB0AA0"/>
    <w:rsid w:val="00FB75D5"/>
    <w:rsid w:val="00FD3A3D"/>
    <w:rsid w:val="00FD6192"/>
    <w:rsid w:val="00FE57F8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A505"/>
  <w15:chartTrackingRefBased/>
  <w15:docId w15:val="{918E96B5-BADA-42AC-8590-38402975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DFD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B6B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6B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3B6B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B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6B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6B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6B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6B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6B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6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6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3B6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B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6B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6B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6B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6B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6B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6B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B6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6B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6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6B2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6B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6B2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B6B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6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6B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6B20"/>
    <w:rPr>
      <w:b/>
      <w:bCs/>
      <w:smallCaps/>
      <w:color w:val="0F4761" w:themeColor="accent1" w:themeShade="BF"/>
      <w:spacing w:val="5"/>
    </w:rPr>
  </w:style>
  <w:style w:type="paragraph" w:customStyle="1" w:styleId="atext">
    <w:name w:val="atext"/>
    <w:basedOn w:val="Normale"/>
    <w:rsid w:val="003B6B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57D38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7D38"/>
  </w:style>
  <w:style w:type="paragraph" w:styleId="Pidipagina">
    <w:name w:val="footer"/>
    <w:basedOn w:val="Normale"/>
    <w:link w:val="PidipaginaCarattere"/>
    <w:uiPriority w:val="99"/>
    <w:unhideWhenUsed/>
    <w:rsid w:val="00A57D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7D38"/>
  </w:style>
  <w:style w:type="paragraph" w:styleId="NormaleWeb">
    <w:name w:val="Normal (Web)"/>
    <w:basedOn w:val="Normale"/>
    <w:uiPriority w:val="99"/>
    <w:unhideWhenUsed/>
    <w:rsid w:val="00CE441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CE441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C2AEE"/>
    <w:rPr>
      <w:color w:val="0000FF"/>
      <w:u w:val="single"/>
    </w:rPr>
  </w:style>
  <w:style w:type="paragraph" w:styleId="Revisione">
    <w:name w:val="Revision"/>
    <w:hidden/>
    <w:uiPriority w:val="99"/>
    <w:semiHidden/>
    <w:rsid w:val="00A1045D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9B360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B3602"/>
    <w:rPr>
      <w:color w:val="96607D" w:themeColor="followedHyperlink"/>
      <w:u w:val="single"/>
    </w:rPr>
  </w:style>
  <w:style w:type="paragraph" w:customStyle="1" w:styleId="Corpotesto1">
    <w:name w:val="Corpo testo1"/>
    <w:basedOn w:val="Normale"/>
    <w:rsid w:val="00135FBD"/>
    <w:pPr>
      <w:spacing w:line="360" w:lineRule="auto"/>
      <w:ind w:firstLine="284"/>
      <w:jc w:val="both"/>
    </w:pPr>
    <w:rPr>
      <w:rFonts w:ascii="Times New Roman" w:eastAsia="Times New Roman" w:hAnsi="Times New Roman" w:cs="Times New Roman"/>
      <w:kern w:val="19"/>
      <w:sz w:val="22"/>
      <w:szCs w:val="20"/>
      <w:lang w:eastAsia="zh-CN"/>
    </w:rPr>
  </w:style>
  <w:style w:type="paragraph" w:styleId="Testonotaapidipagina">
    <w:name w:val="footnote text"/>
    <w:aliases w:val="Testo nota a piè di pagina Carattere Carattere Carattere Carattere Carattere Carattere Carattere Carattere Carattere Carattere,Testo nota a piè di pagina Carattere Carattere Carattere,12 pt"/>
    <w:basedOn w:val="Normale"/>
    <w:link w:val="TestonotaapidipaginaCarattere"/>
    <w:uiPriority w:val="99"/>
    <w:unhideWhenUsed/>
    <w:qFormat/>
    <w:rsid w:val="004358CF"/>
    <w:pPr>
      <w:jc w:val="both"/>
    </w:pPr>
    <w:rPr>
      <w:rFonts w:asciiTheme="minorHAnsi" w:eastAsiaTheme="minorEastAsia" w:hAnsiTheme="minorHAnsi" w:cstheme="minorBidi"/>
      <w:color w:val="595959" w:themeColor="text1" w:themeTint="A6"/>
      <w:sz w:val="20"/>
      <w:szCs w:val="20"/>
      <w:lang w:eastAsia="en-US"/>
    </w:rPr>
  </w:style>
  <w:style w:type="character" w:customStyle="1" w:styleId="TestonotaapidipaginaCarattere">
    <w:name w:val="Testo nota a piè di pagina Carattere"/>
    <w:aliases w:val="Testo nota a piè di pagina Carattere Carattere Carattere Carattere Carattere Carattere Carattere Carattere Carattere Carattere Carattere,Testo nota a piè di pagina Carattere Carattere Carattere Carattere"/>
    <w:basedOn w:val="Carpredefinitoparagrafo"/>
    <w:link w:val="Testonotaapidipagina"/>
    <w:uiPriority w:val="99"/>
    <w:rsid w:val="004358CF"/>
    <w:rPr>
      <w:rFonts w:eastAsiaTheme="minorEastAsia"/>
      <w:color w:val="595959" w:themeColor="text1" w:themeTint="A6"/>
      <w:kern w:val="0"/>
      <w:sz w:val="20"/>
      <w:szCs w:val="20"/>
      <w14:ligatures w14:val="none"/>
    </w:rPr>
  </w:style>
  <w:style w:type="character" w:styleId="Rimandonotaapidipagina">
    <w:name w:val="footnote reference"/>
    <w:aliases w:val="Rimando nota a piè di pagina 2,SUPERS,Footnote reference number,Footnote symbol,note TESI,-E Fußnotenzeichen,number,BVI fnr,Footnote,Footnote Reference Superscript,(Footnote Reference),EN Footnote Reference,Voetnootverwijzin"/>
    <w:uiPriority w:val="99"/>
    <w:unhideWhenUsed/>
    <w:qFormat/>
    <w:rsid w:val="004358CF"/>
    <w:rPr>
      <w:vertAlign w:val="superscript"/>
    </w:rPr>
  </w:style>
  <w:style w:type="paragraph" w:customStyle="1" w:styleId="Corpodel">
    <w:name w:val="Corpo del"/>
    <w:basedOn w:val="Normale"/>
    <w:uiPriority w:val="99"/>
    <w:rsid w:val="00E6449D"/>
    <w:pPr>
      <w:spacing w:after="120" w:line="260" w:lineRule="atLeas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ipoDocumento">
    <w:name w:val="Tipo Documento"/>
    <w:basedOn w:val="Normale"/>
    <w:qFormat/>
    <w:rsid w:val="005B33D7"/>
    <w:pPr>
      <w:spacing w:after="200"/>
      <w:jc w:val="both"/>
    </w:pPr>
    <w:rPr>
      <w:rFonts w:asciiTheme="minorHAnsi" w:eastAsiaTheme="minorEastAsia" w:hAnsiTheme="minorHAnsi" w:cs="Times New Roman (Corpo CS)"/>
      <w:b/>
      <w:bCs/>
      <w:caps/>
      <w:color w:val="C00000"/>
      <w:spacing w:val="20"/>
      <w:sz w:val="20"/>
      <w:szCs w:val="21"/>
      <w:lang w:eastAsia="en-US"/>
    </w:rPr>
  </w:style>
  <w:style w:type="paragraph" w:customStyle="1" w:styleId="CVNormal">
    <w:name w:val="CV Normal"/>
    <w:basedOn w:val="Normale"/>
    <w:rsid w:val="003B7039"/>
    <w:pPr>
      <w:suppressAutoHyphens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elementtoproof">
    <w:name w:val="elementtoproof"/>
    <w:basedOn w:val="Normale"/>
    <w:rsid w:val="00FF5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04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77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4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45029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0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8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E2F8-84A8-46C9-90CA-C39089A6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50</cp:revision>
  <cp:lastPrinted>2026-06-19T10:53:00Z</cp:lastPrinted>
  <dcterms:created xsi:type="dcterms:W3CDTF">2026-04-28T13:21:00Z</dcterms:created>
  <dcterms:modified xsi:type="dcterms:W3CDTF">2026-07-16T12:55:00Z</dcterms:modified>
</cp:coreProperties>
</file>