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31AED" w14:textId="77777777" w:rsidR="005F6B93" w:rsidRPr="00102840" w:rsidRDefault="005F6B93" w:rsidP="00ED08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Cs/>
          <w:color w:val="000000"/>
          <w:sz w:val="24"/>
          <w:szCs w:val="24"/>
          <w:u w:val="single"/>
        </w:rPr>
      </w:pPr>
    </w:p>
    <w:p w14:paraId="5E9BFDAF" w14:textId="7C04ECF7" w:rsidR="00ED0874" w:rsidRPr="00ED0874" w:rsidRDefault="00ED0874" w:rsidP="00ED08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bookmarkStart w:id="0" w:name="_gjdgxs" w:colFirst="0" w:colLast="0"/>
      <w:bookmarkEnd w:id="0"/>
      <w:r w:rsidRPr="00053FAE">
        <w:rPr>
          <w:rFonts w:ascii="Arial" w:hAnsi="Arial" w:cs="Arial"/>
          <w:b/>
          <w:bCs/>
          <w:sz w:val="24"/>
        </w:rPr>
        <w:t>DA COMMERCIALISTI E SIDREA LE LINEE GUIDA</w:t>
      </w:r>
      <w:r>
        <w:rPr>
          <w:rFonts w:ascii="Arial" w:hAnsi="Arial" w:cs="Arial"/>
          <w:b/>
          <w:bCs/>
          <w:sz w:val="24"/>
        </w:rPr>
        <w:t xml:space="preserve"> PER LA </w:t>
      </w:r>
      <w:r w:rsidRPr="00053FAE">
        <w:rPr>
          <w:rFonts w:ascii="Arial" w:hAnsi="Arial" w:cs="Arial"/>
          <w:b/>
          <w:bCs/>
          <w:sz w:val="24"/>
        </w:rPr>
        <w:t>SOSTENIBILITA’ DELLE STARTUP</w:t>
      </w:r>
    </w:p>
    <w:p w14:paraId="215FFD51" w14:textId="77777777" w:rsidR="00ED0874" w:rsidRDefault="00ED0874" w:rsidP="00ED0874">
      <w:pPr>
        <w:pStyle w:val="Capoverso"/>
        <w:spacing w:line="264" w:lineRule="exact"/>
        <w:ind w:firstLine="0"/>
        <w:jc w:val="center"/>
        <w:rPr>
          <w:rFonts w:ascii="Arial" w:hAnsi="Arial" w:cs="Arial"/>
          <w:sz w:val="24"/>
        </w:rPr>
      </w:pPr>
    </w:p>
    <w:p w14:paraId="7A85BEA0" w14:textId="77777777" w:rsidR="00ED0874" w:rsidRPr="00053FAE" w:rsidRDefault="00ED0874" w:rsidP="00ED0874">
      <w:pPr>
        <w:pStyle w:val="Capoverso"/>
        <w:spacing w:line="264" w:lineRule="exact"/>
        <w:ind w:firstLine="0"/>
        <w:jc w:val="center"/>
        <w:rPr>
          <w:rFonts w:ascii="Arial" w:hAnsi="Arial" w:cs="Arial"/>
          <w:b/>
          <w:bCs/>
          <w:sz w:val="24"/>
        </w:rPr>
      </w:pPr>
      <w:r w:rsidRPr="00053FAE">
        <w:rPr>
          <w:rFonts w:ascii="Arial" w:hAnsi="Arial" w:cs="Arial"/>
          <w:b/>
          <w:bCs/>
          <w:sz w:val="24"/>
        </w:rPr>
        <w:t>La pubblicazione, elaborata secondo la metodologia dell’Impact Case Study, offre a</w:t>
      </w:r>
      <w:r w:rsidRPr="0051256B">
        <w:rPr>
          <w:rFonts w:ascii="Arial" w:hAnsi="Arial" w:cs="Arial"/>
          <w:sz w:val="24"/>
        </w:rPr>
        <w:t xml:space="preserve"> </w:t>
      </w:r>
      <w:r w:rsidRPr="00053FAE">
        <w:rPr>
          <w:rFonts w:ascii="Arial" w:hAnsi="Arial" w:cs="Arial"/>
          <w:b/>
          <w:bCs/>
          <w:sz w:val="24"/>
        </w:rPr>
        <w:t>startupper, professionisti, manager, investitori e altri stakeholder uno strumento operativo e concettuale capace di individuare le migliori pratiche per la gestione delle startup e di prevenire e mitigare i principali rischi evidenziati dalla letteratura e dalla prassi aziendale</w:t>
      </w:r>
    </w:p>
    <w:p w14:paraId="77EEF4C9" w14:textId="77777777" w:rsidR="00ED0874" w:rsidRPr="00053FAE" w:rsidRDefault="00ED0874" w:rsidP="00ED0874">
      <w:pPr>
        <w:pStyle w:val="Capoverso"/>
        <w:spacing w:line="264" w:lineRule="exact"/>
        <w:ind w:firstLine="0"/>
        <w:rPr>
          <w:rFonts w:ascii="Arial" w:hAnsi="Arial" w:cs="Arial"/>
          <w:b/>
          <w:bCs/>
          <w:sz w:val="24"/>
        </w:rPr>
      </w:pPr>
    </w:p>
    <w:p w14:paraId="2531BC2E" w14:textId="40AB59DC" w:rsidR="00ED0874" w:rsidRPr="0051256B" w:rsidRDefault="00ED0874" w:rsidP="00ED0874">
      <w:pPr>
        <w:pStyle w:val="Capoverso"/>
        <w:spacing w:line="264" w:lineRule="exact"/>
        <w:ind w:firstLine="0"/>
        <w:rPr>
          <w:rFonts w:ascii="Arial" w:hAnsi="Arial" w:cs="Arial"/>
          <w:sz w:val="24"/>
        </w:rPr>
      </w:pPr>
      <w:r w:rsidRPr="00053FAE">
        <w:rPr>
          <w:rFonts w:ascii="Arial" w:hAnsi="Arial" w:cs="Arial"/>
          <w:i/>
          <w:iCs/>
          <w:sz w:val="24"/>
        </w:rPr>
        <w:t>Roma, 16 giugno 2026 -</w:t>
      </w:r>
      <w:r>
        <w:rPr>
          <w:rFonts w:ascii="Arial" w:hAnsi="Arial" w:cs="Arial"/>
          <w:sz w:val="24"/>
        </w:rPr>
        <w:t xml:space="preserve"> </w:t>
      </w:r>
      <w:r w:rsidRPr="0051256B">
        <w:rPr>
          <w:rFonts w:ascii="Arial" w:hAnsi="Arial" w:cs="Arial"/>
          <w:sz w:val="24"/>
        </w:rPr>
        <w:t xml:space="preserve">Il Consiglio </w:t>
      </w:r>
      <w:r w:rsidR="006E4C91">
        <w:rPr>
          <w:rFonts w:ascii="Arial" w:hAnsi="Arial" w:cs="Arial"/>
          <w:sz w:val="24"/>
        </w:rPr>
        <w:t>N</w:t>
      </w:r>
      <w:r w:rsidRPr="0051256B">
        <w:rPr>
          <w:rFonts w:ascii="Arial" w:hAnsi="Arial" w:cs="Arial"/>
          <w:sz w:val="24"/>
        </w:rPr>
        <w:t xml:space="preserve">azionale dei Dottori </w:t>
      </w:r>
      <w:r w:rsidR="006E4C91">
        <w:rPr>
          <w:rFonts w:ascii="Arial" w:hAnsi="Arial" w:cs="Arial"/>
          <w:sz w:val="24"/>
        </w:rPr>
        <w:t>C</w:t>
      </w:r>
      <w:r w:rsidRPr="0051256B">
        <w:rPr>
          <w:rFonts w:ascii="Arial" w:hAnsi="Arial" w:cs="Arial"/>
          <w:sz w:val="24"/>
        </w:rPr>
        <w:t xml:space="preserve">ommercialisti e degli Esperti </w:t>
      </w:r>
      <w:r w:rsidR="006E4C91">
        <w:rPr>
          <w:rFonts w:ascii="Arial" w:hAnsi="Arial" w:cs="Arial"/>
          <w:sz w:val="24"/>
        </w:rPr>
        <w:t>C</w:t>
      </w:r>
      <w:r w:rsidRPr="0051256B">
        <w:rPr>
          <w:rFonts w:ascii="Arial" w:hAnsi="Arial" w:cs="Arial"/>
          <w:sz w:val="24"/>
        </w:rPr>
        <w:t>ontabili (CNDCEC) e la Società Italiana dei Docenti di Ragioneria e di Economia Aziendale (SIDREA) hanno pubblicato le “</w:t>
      </w:r>
      <w:r w:rsidRPr="0051256B">
        <w:rPr>
          <w:rFonts w:ascii="Arial" w:hAnsi="Arial" w:cs="Arial"/>
          <w:b/>
          <w:bCs/>
          <w:sz w:val="24"/>
        </w:rPr>
        <w:t>Linee guida per la sostenibilità delle startup</w:t>
      </w:r>
      <w:r w:rsidRPr="0051256B">
        <w:rPr>
          <w:rFonts w:ascii="Arial" w:hAnsi="Arial" w:cs="Arial"/>
          <w:sz w:val="24"/>
        </w:rPr>
        <w:t xml:space="preserve">”. </w:t>
      </w:r>
      <w:r>
        <w:rPr>
          <w:rFonts w:ascii="Arial" w:hAnsi="Arial" w:cs="Arial"/>
          <w:sz w:val="24"/>
        </w:rPr>
        <w:t xml:space="preserve">Il lavoro, pubblicato </w:t>
      </w:r>
      <w:r w:rsidRPr="0051256B">
        <w:rPr>
          <w:rFonts w:ascii="Arial" w:hAnsi="Arial" w:cs="Arial"/>
          <w:sz w:val="24"/>
        </w:rPr>
        <w:t xml:space="preserve">da Giappichelli, </w:t>
      </w:r>
      <w:r>
        <w:rPr>
          <w:rFonts w:ascii="Arial" w:hAnsi="Arial" w:cs="Arial"/>
          <w:sz w:val="24"/>
        </w:rPr>
        <w:t xml:space="preserve">scaricabile gratuitamente dai siti di CNDCEC e SIDREA, </w:t>
      </w:r>
      <w:r w:rsidRPr="0051256B">
        <w:rPr>
          <w:rFonts w:ascii="Arial" w:hAnsi="Arial" w:cs="Arial"/>
          <w:sz w:val="24"/>
        </w:rPr>
        <w:t>costituisce il risultato di un progetto biennale sviluppato congiuntamente dal</w:t>
      </w:r>
      <w:r w:rsidR="00702B48">
        <w:rPr>
          <w:rFonts w:ascii="Arial" w:hAnsi="Arial" w:cs="Arial"/>
          <w:sz w:val="24"/>
        </w:rPr>
        <w:t>le</w:t>
      </w:r>
      <w:r w:rsidRPr="0051256B">
        <w:rPr>
          <w:rFonts w:ascii="Arial" w:hAnsi="Arial" w:cs="Arial"/>
          <w:sz w:val="24"/>
        </w:rPr>
        <w:t xml:space="preserve"> due realtà</w:t>
      </w:r>
      <w:r>
        <w:rPr>
          <w:rFonts w:ascii="Arial" w:hAnsi="Arial" w:cs="Arial"/>
          <w:sz w:val="24"/>
        </w:rPr>
        <w:t xml:space="preserve"> ed</w:t>
      </w:r>
      <w:r w:rsidRPr="0051256B">
        <w:rPr>
          <w:rFonts w:ascii="Arial" w:hAnsi="Arial" w:cs="Arial"/>
          <w:sz w:val="24"/>
        </w:rPr>
        <w:t xml:space="preserve"> è stat</w:t>
      </w:r>
      <w:r w:rsidR="006E4C91">
        <w:rPr>
          <w:rFonts w:ascii="Arial" w:hAnsi="Arial" w:cs="Arial"/>
          <w:sz w:val="24"/>
        </w:rPr>
        <w:t>o</w:t>
      </w:r>
      <w:r w:rsidRPr="0051256B">
        <w:rPr>
          <w:rFonts w:ascii="Arial" w:hAnsi="Arial" w:cs="Arial"/>
          <w:sz w:val="24"/>
        </w:rPr>
        <w:t xml:space="preserve"> redatt</w:t>
      </w:r>
      <w:r>
        <w:rPr>
          <w:rFonts w:ascii="Arial" w:hAnsi="Arial" w:cs="Arial"/>
          <w:sz w:val="24"/>
        </w:rPr>
        <w:t>o</w:t>
      </w:r>
      <w:r w:rsidRPr="0051256B">
        <w:rPr>
          <w:rFonts w:ascii="Arial" w:hAnsi="Arial" w:cs="Arial"/>
          <w:sz w:val="24"/>
        </w:rPr>
        <w:t xml:space="preserve"> da un gruppo di accademici, designati dal Gruppo di Studio sulle “Startup” della SIDREA, e di professionisti, delegati </w:t>
      </w:r>
      <w:r>
        <w:rPr>
          <w:rFonts w:ascii="Arial" w:hAnsi="Arial" w:cs="Arial"/>
          <w:sz w:val="24"/>
        </w:rPr>
        <w:t xml:space="preserve">dal </w:t>
      </w:r>
      <w:r w:rsidRPr="0051256B">
        <w:rPr>
          <w:rFonts w:ascii="Arial" w:hAnsi="Arial" w:cs="Arial"/>
          <w:sz w:val="24"/>
        </w:rPr>
        <w:t xml:space="preserve">CNDCEC. </w:t>
      </w:r>
    </w:p>
    <w:p w14:paraId="000CFF9D" w14:textId="77777777" w:rsidR="00ED0874" w:rsidRPr="0051256B" w:rsidRDefault="00ED0874" w:rsidP="00ED0874">
      <w:pPr>
        <w:pStyle w:val="Capoverso"/>
        <w:spacing w:line="264" w:lineRule="exact"/>
        <w:ind w:firstLine="0"/>
        <w:rPr>
          <w:rFonts w:ascii="Arial" w:hAnsi="Arial" w:cs="Arial"/>
          <w:sz w:val="24"/>
        </w:rPr>
      </w:pPr>
    </w:p>
    <w:p w14:paraId="12D900AD" w14:textId="77777777" w:rsidR="00605365" w:rsidRDefault="00ED0874" w:rsidP="00ED0874">
      <w:pPr>
        <w:jc w:val="both"/>
        <w:rPr>
          <w:rFonts w:ascii="Arial" w:hAnsi="Arial" w:cs="Arial"/>
          <w:sz w:val="24"/>
          <w:szCs w:val="24"/>
        </w:rPr>
      </w:pPr>
      <w:r w:rsidRPr="0051256B">
        <w:rPr>
          <w:rFonts w:ascii="Arial" w:hAnsi="Arial" w:cs="Arial"/>
          <w:sz w:val="24"/>
          <w:szCs w:val="24"/>
        </w:rPr>
        <w:t>L’obiettivo del</w:t>
      </w:r>
      <w:r>
        <w:rPr>
          <w:rFonts w:ascii="Arial" w:hAnsi="Arial" w:cs="Arial"/>
          <w:sz w:val="24"/>
          <w:szCs w:val="24"/>
        </w:rPr>
        <w:t>la pubblicazione</w:t>
      </w:r>
      <w:r w:rsidRPr="0051256B">
        <w:rPr>
          <w:rFonts w:ascii="Arial" w:hAnsi="Arial" w:cs="Arial"/>
          <w:sz w:val="24"/>
          <w:szCs w:val="24"/>
        </w:rPr>
        <w:t>, elaborat</w:t>
      </w:r>
      <w:r>
        <w:rPr>
          <w:rFonts w:ascii="Arial" w:hAnsi="Arial" w:cs="Arial"/>
          <w:sz w:val="24"/>
          <w:szCs w:val="24"/>
        </w:rPr>
        <w:t>a</w:t>
      </w:r>
      <w:r w:rsidRPr="0051256B">
        <w:rPr>
          <w:rFonts w:ascii="Arial" w:hAnsi="Arial" w:cs="Arial"/>
          <w:sz w:val="24"/>
          <w:szCs w:val="24"/>
        </w:rPr>
        <w:t xml:space="preserve"> secondo la metodologia dell’Impact Case Study, già diffusa a livello internazionale, è offrire a startupper, professionisti, manager, investitori e altri stakeholder uno </w:t>
      </w:r>
      <w:r w:rsidRPr="0051256B">
        <w:rPr>
          <w:rFonts w:ascii="Arial" w:hAnsi="Arial" w:cs="Arial"/>
          <w:b/>
          <w:bCs/>
          <w:sz w:val="24"/>
          <w:szCs w:val="24"/>
        </w:rPr>
        <w:t>strumento operativo</w:t>
      </w:r>
      <w:r w:rsidRPr="0051256B">
        <w:rPr>
          <w:rFonts w:ascii="Arial" w:hAnsi="Arial" w:cs="Arial"/>
          <w:sz w:val="24"/>
          <w:szCs w:val="24"/>
        </w:rPr>
        <w:t xml:space="preserve"> e </w:t>
      </w:r>
      <w:r w:rsidRPr="0051256B">
        <w:rPr>
          <w:rFonts w:ascii="Arial" w:hAnsi="Arial" w:cs="Arial"/>
          <w:b/>
          <w:bCs/>
          <w:sz w:val="24"/>
          <w:szCs w:val="24"/>
        </w:rPr>
        <w:t>concettuale</w:t>
      </w:r>
      <w:r w:rsidRPr="0051256B">
        <w:rPr>
          <w:rFonts w:ascii="Arial" w:hAnsi="Arial" w:cs="Arial"/>
          <w:sz w:val="24"/>
          <w:szCs w:val="24"/>
        </w:rPr>
        <w:t xml:space="preserve"> capace, da un lato, di individuare le </w:t>
      </w:r>
      <w:r w:rsidRPr="0051256B">
        <w:rPr>
          <w:rFonts w:ascii="Arial" w:hAnsi="Arial" w:cs="Arial"/>
          <w:b/>
          <w:bCs/>
          <w:sz w:val="24"/>
          <w:szCs w:val="24"/>
        </w:rPr>
        <w:t>migliori pratiche</w:t>
      </w:r>
      <w:r w:rsidRPr="0051256B">
        <w:rPr>
          <w:rFonts w:ascii="Arial" w:hAnsi="Arial" w:cs="Arial"/>
          <w:sz w:val="24"/>
          <w:szCs w:val="24"/>
        </w:rPr>
        <w:t xml:space="preserve"> per la gestione delle startup e, dall’altro, di </w:t>
      </w:r>
      <w:r w:rsidRPr="0051256B">
        <w:rPr>
          <w:rFonts w:ascii="Arial" w:hAnsi="Arial" w:cs="Arial"/>
          <w:b/>
          <w:bCs/>
          <w:sz w:val="24"/>
          <w:szCs w:val="24"/>
        </w:rPr>
        <w:t>prevenire e mitigare</w:t>
      </w:r>
      <w:r w:rsidRPr="0051256B">
        <w:rPr>
          <w:rFonts w:ascii="Arial" w:hAnsi="Arial" w:cs="Arial"/>
          <w:sz w:val="24"/>
          <w:szCs w:val="24"/>
        </w:rPr>
        <w:t xml:space="preserve"> i principali rischi evidenziati dalla letteratura e dalla prassi aziendale.</w:t>
      </w:r>
    </w:p>
    <w:p w14:paraId="38645DBE" w14:textId="77777777" w:rsidR="00605365" w:rsidRDefault="00605365" w:rsidP="00ED0874">
      <w:pPr>
        <w:jc w:val="both"/>
        <w:rPr>
          <w:rFonts w:ascii="Arial" w:hAnsi="Arial" w:cs="Arial"/>
          <w:sz w:val="24"/>
          <w:szCs w:val="24"/>
        </w:rPr>
      </w:pPr>
    </w:p>
    <w:p w14:paraId="0DB6E7C8" w14:textId="29FBB53B" w:rsidR="00ED0874" w:rsidRDefault="00ED0874" w:rsidP="00ED0874">
      <w:pPr>
        <w:jc w:val="both"/>
        <w:rPr>
          <w:rFonts w:ascii="Arial" w:hAnsi="Arial" w:cs="Arial"/>
          <w:sz w:val="24"/>
          <w:szCs w:val="24"/>
        </w:rPr>
      </w:pPr>
      <w:r w:rsidRPr="0051256B">
        <w:rPr>
          <w:rFonts w:ascii="Arial" w:hAnsi="Arial" w:cs="Arial"/>
          <w:sz w:val="24"/>
          <w:szCs w:val="24"/>
        </w:rPr>
        <w:t xml:space="preserve">Il volume si sviluppa secondo un percorso logico e tematico che, per ciascuna area di analisi, presenta specifiche linee guida in </w:t>
      </w:r>
      <w:r w:rsidRPr="0051256B">
        <w:rPr>
          <w:rFonts w:ascii="Arial" w:hAnsi="Arial" w:cs="Arial"/>
          <w:b/>
          <w:bCs/>
          <w:sz w:val="24"/>
          <w:szCs w:val="24"/>
        </w:rPr>
        <w:t>forma sintetica e analitica, variabili e indicatori</w:t>
      </w:r>
      <w:r w:rsidR="00956DBF">
        <w:rPr>
          <w:rFonts w:ascii="Arial" w:hAnsi="Arial" w:cs="Arial"/>
          <w:sz w:val="24"/>
          <w:szCs w:val="24"/>
        </w:rPr>
        <w:t>.</w:t>
      </w:r>
    </w:p>
    <w:p w14:paraId="76EB42F7" w14:textId="77777777" w:rsidR="00956DBF" w:rsidRPr="00956DBF" w:rsidRDefault="00956DBF" w:rsidP="00ED0874">
      <w:pPr>
        <w:jc w:val="both"/>
        <w:rPr>
          <w:rFonts w:ascii="Arial" w:hAnsi="Arial" w:cs="Arial"/>
          <w:sz w:val="24"/>
          <w:szCs w:val="24"/>
        </w:rPr>
      </w:pPr>
    </w:p>
    <w:p w14:paraId="3CE68A8C" w14:textId="77777777" w:rsidR="00ED0874" w:rsidRPr="0051256B" w:rsidRDefault="00ED0874" w:rsidP="00ED0874">
      <w:pPr>
        <w:pStyle w:val="Capoverso"/>
        <w:spacing w:line="264" w:lineRule="exact"/>
        <w:ind w:firstLine="0"/>
        <w:rPr>
          <w:rFonts w:ascii="Arial" w:eastAsia="Calibri" w:hAnsi="Arial" w:cs="Arial"/>
          <w:b/>
          <w:sz w:val="24"/>
        </w:rPr>
      </w:pPr>
      <w:r w:rsidRPr="0051256B">
        <w:rPr>
          <w:rFonts w:ascii="Arial" w:hAnsi="Arial" w:cs="Arial"/>
          <w:sz w:val="24"/>
        </w:rPr>
        <w:t xml:space="preserve">“Si tratta di una prima esperienza collaborativa che potrà avere interessanti e proficui </w:t>
      </w:r>
      <w:r w:rsidRPr="0051256B">
        <w:rPr>
          <w:rFonts w:ascii="Arial" w:hAnsi="Arial" w:cs="Arial"/>
          <w:b/>
          <w:bCs/>
          <w:sz w:val="24"/>
        </w:rPr>
        <w:t>sviluppi</w:t>
      </w:r>
      <w:r w:rsidRPr="0051256B">
        <w:rPr>
          <w:rFonts w:ascii="Arial" w:hAnsi="Arial" w:cs="Arial"/>
          <w:sz w:val="24"/>
        </w:rPr>
        <w:t xml:space="preserve"> in futuro, al fine di rafforzare il </w:t>
      </w:r>
      <w:r w:rsidRPr="0051256B">
        <w:rPr>
          <w:rFonts w:ascii="Arial" w:hAnsi="Arial" w:cs="Arial"/>
          <w:b/>
          <w:bCs/>
          <w:sz w:val="24"/>
        </w:rPr>
        <w:t>dialogo</w:t>
      </w:r>
      <w:r w:rsidRPr="0051256B">
        <w:rPr>
          <w:rFonts w:ascii="Arial" w:hAnsi="Arial" w:cs="Arial"/>
          <w:sz w:val="24"/>
        </w:rPr>
        <w:t xml:space="preserve"> tra il mondo </w:t>
      </w:r>
      <w:r w:rsidRPr="0051256B">
        <w:rPr>
          <w:rFonts w:ascii="Arial" w:hAnsi="Arial" w:cs="Arial"/>
          <w:b/>
          <w:bCs/>
          <w:sz w:val="24"/>
        </w:rPr>
        <w:t>universitario e professionale</w:t>
      </w:r>
      <w:r w:rsidRPr="0051256B">
        <w:rPr>
          <w:rFonts w:ascii="Arial" w:hAnsi="Arial" w:cs="Arial"/>
          <w:sz w:val="24"/>
        </w:rPr>
        <w:t xml:space="preserve">”, scrivono nella presentazione il presidente del CNDCEC </w:t>
      </w:r>
      <w:r w:rsidRPr="0051256B">
        <w:rPr>
          <w:rFonts w:ascii="Arial" w:hAnsi="Arial" w:cs="Arial"/>
          <w:b/>
          <w:bCs/>
          <w:sz w:val="24"/>
        </w:rPr>
        <w:t>Elbano de Nuccio</w:t>
      </w:r>
      <w:r w:rsidRPr="0051256B">
        <w:rPr>
          <w:rFonts w:ascii="Arial" w:hAnsi="Arial" w:cs="Arial"/>
          <w:sz w:val="24"/>
        </w:rPr>
        <w:t xml:space="preserve"> e quello di SIDREA </w:t>
      </w:r>
      <w:r w:rsidRPr="0051256B">
        <w:rPr>
          <w:rFonts w:ascii="Arial" w:eastAsia="Calibri" w:hAnsi="Arial" w:cs="Arial"/>
          <w:b/>
          <w:sz w:val="24"/>
        </w:rPr>
        <w:t>Claudio Teodori.</w:t>
      </w:r>
    </w:p>
    <w:p w14:paraId="735DE867" w14:textId="77777777" w:rsidR="00ED0874" w:rsidRPr="0051256B" w:rsidRDefault="00ED0874" w:rsidP="00ED0874">
      <w:pPr>
        <w:pStyle w:val="Capoverso"/>
        <w:spacing w:line="264" w:lineRule="exact"/>
        <w:ind w:firstLine="0"/>
        <w:rPr>
          <w:rFonts w:ascii="Arial" w:hAnsi="Arial" w:cs="Arial"/>
          <w:sz w:val="24"/>
        </w:rPr>
      </w:pPr>
    </w:p>
    <w:p w14:paraId="74A9B359" w14:textId="73B0B5D5" w:rsidR="00ED0874" w:rsidRPr="0051256B" w:rsidRDefault="00ED0874" w:rsidP="00ED0874">
      <w:pPr>
        <w:pStyle w:val="Capoverso"/>
        <w:ind w:firstLine="0"/>
        <w:rPr>
          <w:rFonts w:ascii="Arial" w:hAnsi="Arial" w:cs="Arial"/>
          <w:sz w:val="24"/>
        </w:rPr>
      </w:pPr>
      <w:r w:rsidRPr="0051256B">
        <w:rPr>
          <w:rFonts w:ascii="Arial" w:hAnsi="Arial" w:cs="Arial"/>
          <w:sz w:val="24"/>
        </w:rPr>
        <w:t xml:space="preserve">“Il lavoro – spiegano </w:t>
      </w:r>
      <w:r w:rsidR="00B2134D">
        <w:rPr>
          <w:rFonts w:ascii="Arial" w:hAnsi="Arial" w:cs="Arial"/>
          <w:sz w:val="24"/>
        </w:rPr>
        <w:t>–</w:t>
      </w:r>
      <w:r w:rsidRPr="0051256B">
        <w:rPr>
          <w:rFonts w:ascii="Arial" w:hAnsi="Arial" w:cs="Arial"/>
          <w:sz w:val="24"/>
        </w:rPr>
        <w:t xml:space="preserve"> si articola in </w:t>
      </w:r>
      <w:r w:rsidRPr="0051256B">
        <w:rPr>
          <w:rFonts w:ascii="Arial" w:hAnsi="Arial" w:cs="Arial"/>
          <w:b/>
          <w:bCs/>
          <w:sz w:val="24"/>
        </w:rPr>
        <w:t>tre capitoli</w:t>
      </w:r>
      <w:r w:rsidRPr="0051256B">
        <w:rPr>
          <w:rFonts w:ascii="Arial" w:hAnsi="Arial" w:cs="Arial"/>
          <w:sz w:val="24"/>
        </w:rPr>
        <w:t>. Il primo affronta tematiche di inquadramento teorico e definitorio. Il secondo capitolo è dedicato alla strategia, al business plan, al controllo di gestione, alla valutazione dei rischi finanziari, operativi, politici, ambientali e di sicurezza, alla valutazione della strategia sotto i profili della competitività, della sostenibilità economico-finanziaria e degli aspetti ESG. Infine, l’ultimo capitolo affronta alcune problematiche contabili e di valutazione delle poste di bilancio, nonché la determinazione del valore economico delle imprese giovani e delle startup. Il lavoro si conclude con un’</w:t>
      </w:r>
      <w:r w:rsidRPr="0051256B">
        <w:rPr>
          <w:rFonts w:ascii="Arial" w:hAnsi="Arial" w:cs="Arial"/>
          <w:b/>
          <w:bCs/>
          <w:sz w:val="24"/>
        </w:rPr>
        <w:t xml:space="preserve">appendice normativa </w:t>
      </w:r>
      <w:r w:rsidRPr="0051256B">
        <w:rPr>
          <w:rFonts w:ascii="Arial" w:hAnsi="Arial" w:cs="Arial"/>
          <w:sz w:val="24"/>
        </w:rPr>
        <w:t>che raccoglie e sistematizza i principali riferimenti legislativi del D.L. n. 179/2012 (“Decreto Crescita 2.0”) in materia di startup innovative ed incubatori certificati”.</w:t>
      </w:r>
    </w:p>
    <w:p w14:paraId="2D5247F5" w14:textId="77777777" w:rsidR="00ED0874" w:rsidRPr="0051256B" w:rsidRDefault="00ED0874" w:rsidP="00ED0874">
      <w:pPr>
        <w:pStyle w:val="Capoverso"/>
        <w:ind w:firstLine="0"/>
        <w:rPr>
          <w:rFonts w:ascii="Arial" w:hAnsi="Arial" w:cs="Arial"/>
          <w:sz w:val="24"/>
        </w:rPr>
      </w:pPr>
    </w:p>
    <w:p w14:paraId="4BCCBA1F" w14:textId="5D7D7FB5" w:rsidR="00CD075C" w:rsidRPr="00E33BFD" w:rsidRDefault="00ED0874" w:rsidP="00605365">
      <w:pPr>
        <w:pStyle w:val="Capoverso"/>
        <w:ind w:firstLine="0"/>
        <w:rPr>
          <w:rFonts w:ascii="Arial" w:eastAsia="Arial" w:hAnsi="Arial" w:cs="Arial"/>
          <w:sz w:val="24"/>
        </w:rPr>
      </w:pPr>
      <w:r w:rsidRPr="0051256B">
        <w:rPr>
          <w:rFonts w:ascii="Arial" w:hAnsi="Arial" w:cs="Arial"/>
          <w:sz w:val="24"/>
        </w:rPr>
        <w:t xml:space="preserve">De Nuccio e Teodori anticipano che “alla pubblicazione delle linee guida seguiranno le fasi di </w:t>
      </w:r>
      <w:r w:rsidRPr="0051256B">
        <w:rPr>
          <w:rFonts w:ascii="Arial" w:hAnsi="Arial" w:cs="Arial"/>
          <w:b/>
          <w:bCs/>
          <w:sz w:val="24"/>
        </w:rPr>
        <w:t>sperimentazione e misurazione</w:t>
      </w:r>
      <w:r w:rsidRPr="0051256B">
        <w:rPr>
          <w:rFonts w:ascii="Arial" w:hAnsi="Arial" w:cs="Arial"/>
          <w:sz w:val="24"/>
        </w:rPr>
        <w:t xml:space="preserve">, mediante una serie di </w:t>
      </w:r>
      <w:r w:rsidRPr="0051256B">
        <w:rPr>
          <w:rFonts w:ascii="Arial" w:hAnsi="Arial" w:cs="Arial"/>
          <w:b/>
          <w:bCs/>
          <w:sz w:val="24"/>
        </w:rPr>
        <w:t>indicatori</w:t>
      </w:r>
      <w:r w:rsidRPr="0051256B">
        <w:rPr>
          <w:rFonts w:ascii="Arial" w:hAnsi="Arial" w:cs="Arial"/>
          <w:sz w:val="24"/>
        </w:rPr>
        <w:t xml:space="preserve"> dell’impatto nella prassi dei </w:t>
      </w:r>
      <w:r>
        <w:rPr>
          <w:rFonts w:ascii="Arial" w:hAnsi="Arial" w:cs="Arial"/>
          <w:sz w:val="24"/>
        </w:rPr>
        <w:t xml:space="preserve">dottori </w:t>
      </w:r>
      <w:r w:rsidRPr="0051256B">
        <w:rPr>
          <w:rFonts w:ascii="Arial" w:hAnsi="Arial" w:cs="Arial"/>
          <w:sz w:val="24"/>
        </w:rPr>
        <w:t>commercialisti, degli esperti contabili, dei consulenti aziendali e delle startup”.</w:t>
      </w:r>
    </w:p>
    <w:sectPr w:rsidR="00CD075C" w:rsidRPr="00E33BFD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CC252" w14:textId="77777777" w:rsidR="00914D10" w:rsidRDefault="00914D10">
      <w:r>
        <w:separator/>
      </w:r>
    </w:p>
  </w:endnote>
  <w:endnote w:type="continuationSeparator" w:id="0">
    <w:p w14:paraId="05FE61B4" w14:textId="77777777" w:rsidR="00914D10" w:rsidRDefault="00914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6B35B" w14:textId="77777777" w:rsidR="00914D10" w:rsidRDefault="00914D10">
      <w:r>
        <w:separator/>
      </w:r>
    </w:p>
  </w:footnote>
  <w:footnote w:type="continuationSeparator" w:id="0">
    <w:p w14:paraId="4F0AC860" w14:textId="77777777" w:rsidR="00914D10" w:rsidRDefault="00914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0B17" w14:textId="6B908530" w:rsidR="00ED0874" w:rsidRPr="00ED0874" w:rsidRDefault="007C29BB" w:rsidP="00ED08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605"/>
        <w:tab w:val="left" w:pos="2745"/>
      </w:tabs>
      <w:jc w:val="center"/>
      <w:rPr>
        <w:noProof/>
      </w:rPr>
    </w:pPr>
    <w:r>
      <w:rPr>
        <w:noProof/>
        <w:color w:val="000000"/>
      </w:rPr>
      <w:drawing>
        <wp:inline distT="0" distB="0" distL="0" distR="0" wp14:anchorId="797765F5" wp14:editId="748F6A27">
          <wp:extent cx="2528764" cy="858955"/>
          <wp:effectExtent l="0" t="0" r="0" b="0"/>
          <wp:docPr id="1" name="image1.png" descr="CNDCE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NDCE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8764" cy="858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ED0874" w:rsidRPr="00ED0874">
      <w:rPr>
        <w:noProof/>
      </w:rPr>
      <w:t xml:space="preserve"> </w:t>
    </w:r>
    <w:r w:rsidR="00ED0874" w:rsidRPr="00ED0874">
      <w:rPr>
        <w:noProof/>
      </w:rPr>
      <w:drawing>
        <wp:inline distT="0" distB="0" distL="0" distR="0" wp14:anchorId="1A6B0596" wp14:editId="7E53AFE9">
          <wp:extent cx="1143000" cy="1143000"/>
          <wp:effectExtent l="0" t="0" r="0" b="0"/>
          <wp:docPr id="122071833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4FB80C" w14:textId="2D3034D9" w:rsidR="005F6B93" w:rsidRDefault="005F6B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605"/>
        <w:tab w:val="left" w:pos="2745"/>
      </w:tabs>
      <w:jc w:val="center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B93"/>
    <w:rsid w:val="00090992"/>
    <w:rsid w:val="000C5F75"/>
    <w:rsid w:val="000D28BD"/>
    <w:rsid w:val="00102840"/>
    <w:rsid w:val="00103156"/>
    <w:rsid w:val="00113721"/>
    <w:rsid w:val="001657E9"/>
    <w:rsid w:val="001B1920"/>
    <w:rsid w:val="00244B74"/>
    <w:rsid w:val="002B4469"/>
    <w:rsid w:val="00326249"/>
    <w:rsid w:val="00461965"/>
    <w:rsid w:val="004622AA"/>
    <w:rsid w:val="004953D4"/>
    <w:rsid w:val="004C16AB"/>
    <w:rsid w:val="00501B25"/>
    <w:rsid w:val="0052563B"/>
    <w:rsid w:val="005F6B93"/>
    <w:rsid w:val="00605365"/>
    <w:rsid w:val="00636734"/>
    <w:rsid w:val="0068637E"/>
    <w:rsid w:val="006D73FC"/>
    <w:rsid w:val="006E4C91"/>
    <w:rsid w:val="006F0B91"/>
    <w:rsid w:val="00701EDB"/>
    <w:rsid w:val="00702B48"/>
    <w:rsid w:val="007C29BB"/>
    <w:rsid w:val="007D361E"/>
    <w:rsid w:val="008057CE"/>
    <w:rsid w:val="00817ABE"/>
    <w:rsid w:val="00827BB9"/>
    <w:rsid w:val="00846CAC"/>
    <w:rsid w:val="008E7494"/>
    <w:rsid w:val="00914D10"/>
    <w:rsid w:val="009373F6"/>
    <w:rsid w:val="00941169"/>
    <w:rsid w:val="00943AF6"/>
    <w:rsid w:val="00956DBF"/>
    <w:rsid w:val="009E24CE"/>
    <w:rsid w:val="00A42C33"/>
    <w:rsid w:val="00B2134D"/>
    <w:rsid w:val="00B94C79"/>
    <w:rsid w:val="00BD401F"/>
    <w:rsid w:val="00C05A39"/>
    <w:rsid w:val="00C23920"/>
    <w:rsid w:val="00C5629D"/>
    <w:rsid w:val="00C742B0"/>
    <w:rsid w:val="00C87946"/>
    <w:rsid w:val="00CA5469"/>
    <w:rsid w:val="00CD075C"/>
    <w:rsid w:val="00D040B0"/>
    <w:rsid w:val="00DC0ABB"/>
    <w:rsid w:val="00E04C59"/>
    <w:rsid w:val="00E33BFD"/>
    <w:rsid w:val="00ED0874"/>
    <w:rsid w:val="00F66F72"/>
    <w:rsid w:val="00FA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12097"/>
  <w15:docId w15:val="{61E40992-0D64-4BA5-9823-ABB1DC21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color w:val="2E75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Arial" w:eastAsia="Arial" w:hAnsi="Arial" w:cs="Arial"/>
      <w:b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 w:line="276" w:lineRule="auto"/>
      <w:outlineLvl w:val="2"/>
    </w:pPr>
    <w:rPr>
      <w:color w:val="1E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poverso">
    <w:name w:val="Capoverso"/>
    <w:qFormat/>
    <w:rsid w:val="00ED0874"/>
    <w:pPr>
      <w:spacing w:line="259" w:lineRule="exact"/>
      <w:ind w:firstLine="284"/>
      <w:jc w:val="both"/>
    </w:pPr>
    <w:rPr>
      <w:rFonts w:eastAsia="Times New Roman" w:cs="Times New Roman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D08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0874"/>
  </w:style>
  <w:style w:type="paragraph" w:styleId="Pidipagina">
    <w:name w:val="footer"/>
    <w:basedOn w:val="Normale"/>
    <w:link w:val="PidipaginaCarattere"/>
    <w:uiPriority w:val="99"/>
    <w:unhideWhenUsed/>
    <w:rsid w:val="00ED08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0874"/>
  </w:style>
  <w:style w:type="paragraph" w:styleId="NormaleWeb">
    <w:name w:val="Normal (Web)"/>
    <w:basedOn w:val="Normale"/>
    <w:uiPriority w:val="99"/>
    <w:semiHidden/>
    <w:unhideWhenUsed/>
    <w:rsid w:val="00ED087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4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42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Mastrogiacomo Tiziana</cp:lastModifiedBy>
  <cp:revision>5</cp:revision>
  <dcterms:created xsi:type="dcterms:W3CDTF">2026-06-16T10:27:00Z</dcterms:created>
  <dcterms:modified xsi:type="dcterms:W3CDTF">2026-06-16T12:49:00Z</dcterms:modified>
</cp:coreProperties>
</file>