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0C873" w14:textId="77777777" w:rsidR="001C5DED" w:rsidRPr="008943DF" w:rsidRDefault="001C5DED" w:rsidP="001C5DED">
      <w:pPr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</w:p>
    <w:p w14:paraId="488D81F9" w14:textId="77777777" w:rsidR="008943DF" w:rsidRPr="008943DF" w:rsidRDefault="008943DF" w:rsidP="008943DF">
      <w:pPr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  <w:r w:rsidRPr="008943DF">
        <w:rPr>
          <w:rFonts w:ascii="Arial" w:hAnsi="Arial" w:cs="Arial"/>
          <w:b/>
          <w:bCs/>
          <w:sz w:val="23"/>
          <w:szCs w:val="23"/>
          <w:u w:val="single"/>
        </w:rPr>
        <w:t>Comunicato stampa</w:t>
      </w:r>
    </w:p>
    <w:p w14:paraId="77C01B26" w14:textId="77777777" w:rsidR="008943DF" w:rsidRPr="008943DF" w:rsidRDefault="008943DF" w:rsidP="008943D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8943DF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3B6F6420" w14:textId="77777777" w:rsidR="00361F50" w:rsidRPr="00361F50" w:rsidRDefault="00361F50" w:rsidP="00361F50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361F50">
        <w:rPr>
          <w:rFonts w:ascii="Arial" w:hAnsi="Arial" w:cs="Arial"/>
          <w:b/>
          <w:bCs/>
          <w:sz w:val="23"/>
          <w:szCs w:val="23"/>
        </w:rPr>
        <w:t>CONSIGLIO NAZIONALE DEI COMMERCIALISTI, ASSEGNATE LE DELEGHE</w:t>
      </w:r>
    </w:p>
    <w:p w14:paraId="3B60E3CF" w14:textId="77777777" w:rsidR="00361F50" w:rsidRPr="00361F50" w:rsidRDefault="00361F50" w:rsidP="00361F50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361F50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0F106148" w14:textId="77777777" w:rsidR="00361F50" w:rsidRPr="00361F50" w:rsidRDefault="00361F50" w:rsidP="00361F50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361F50">
        <w:rPr>
          <w:rFonts w:ascii="Arial" w:hAnsi="Arial" w:cs="Arial"/>
          <w:b/>
          <w:bCs/>
          <w:sz w:val="23"/>
          <w:szCs w:val="23"/>
        </w:rPr>
        <w:t>Dopo la nomina del Comitato esecutivo, definiti i responsabili delle trenta aree tematiche</w:t>
      </w:r>
    </w:p>
    <w:p w14:paraId="0270BBE9" w14:textId="77777777" w:rsidR="00361F50" w:rsidRPr="00361F50" w:rsidRDefault="00361F50" w:rsidP="00361F50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361F50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39E58853" w14:textId="77777777" w:rsidR="00361F50" w:rsidRPr="00361F50" w:rsidRDefault="00361F50" w:rsidP="00361F50">
      <w:pPr>
        <w:jc w:val="both"/>
        <w:rPr>
          <w:rFonts w:ascii="Arial" w:hAnsi="Arial" w:cs="Arial"/>
          <w:sz w:val="23"/>
          <w:szCs w:val="23"/>
        </w:rPr>
      </w:pPr>
      <w:r w:rsidRPr="00361F50">
        <w:rPr>
          <w:rFonts w:ascii="Arial" w:hAnsi="Arial" w:cs="Arial"/>
          <w:i/>
          <w:iCs/>
          <w:sz w:val="23"/>
          <w:szCs w:val="23"/>
        </w:rPr>
        <w:t>Roma, 11 giugno 2026</w:t>
      </w:r>
      <w:r w:rsidRPr="00361F50">
        <w:rPr>
          <w:rFonts w:ascii="Arial" w:hAnsi="Arial" w:cs="Arial"/>
          <w:sz w:val="23"/>
          <w:szCs w:val="23"/>
        </w:rPr>
        <w:t xml:space="preserve"> – Dopo l’elezione del Comitato esecutivo avvenuta nei giorni scorsi, nella seduta di oggi il Consiglio Nazionale dei Dottori Commercialisti e degli Esperti Contabili presieduto da Elbano de Nuccio ha assegnato le deleghe ai consiglieri nazionali.  </w:t>
      </w:r>
    </w:p>
    <w:p w14:paraId="35ABB837" w14:textId="77777777" w:rsidR="00361F50" w:rsidRPr="00361F50" w:rsidRDefault="00361F50" w:rsidP="00361F50">
      <w:pPr>
        <w:jc w:val="both"/>
        <w:rPr>
          <w:rFonts w:ascii="Arial" w:hAnsi="Arial" w:cs="Arial"/>
          <w:sz w:val="23"/>
          <w:szCs w:val="23"/>
        </w:rPr>
      </w:pPr>
      <w:r w:rsidRPr="00361F50">
        <w:rPr>
          <w:rFonts w:ascii="Arial" w:hAnsi="Arial" w:cs="Arial"/>
          <w:sz w:val="23"/>
          <w:szCs w:val="23"/>
        </w:rPr>
        <w:t xml:space="preserve"> </w:t>
      </w:r>
    </w:p>
    <w:p w14:paraId="17C6DB38" w14:textId="77777777" w:rsidR="00361F50" w:rsidRPr="00361F50" w:rsidRDefault="00361F50" w:rsidP="00361F50">
      <w:pPr>
        <w:jc w:val="both"/>
        <w:rPr>
          <w:rFonts w:ascii="Arial" w:hAnsi="Arial" w:cs="Arial"/>
          <w:sz w:val="23"/>
          <w:szCs w:val="23"/>
        </w:rPr>
      </w:pPr>
      <w:r w:rsidRPr="00361F50">
        <w:rPr>
          <w:rFonts w:ascii="Arial" w:hAnsi="Arial" w:cs="Arial"/>
          <w:sz w:val="23"/>
          <w:szCs w:val="23"/>
        </w:rPr>
        <w:t>Le aree di delega sono trenta, così suddivise:</w:t>
      </w:r>
    </w:p>
    <w:p w14:paraId="42D4A087" w14:textId="77777777" w:rsidR="00361F50" w:rsidRPr="00361F50" w:rsidRDefault="00361F50" w:rsidP="00361F50">
      <w:pPr>
        <w:jc w:val="both"/>
        <w:rPr>
          <w:rFonts w:ascii="Arial" w:hAnsi="Arial" w:cs="Arial"/>
          <w:sz w:val="23"/>
          <w:szCs w:val="23"/>
        </w:rPr>
      </w:pPr>
      <w:r w:rsidRPr="00361F50">
        <w:rPr>
          <w:rFonts w:ascii="Arial" w:hAnsi="Arial" w:cs="Arial"/>
          <w:sz w:val="23"/>
          <w:szCs w:val="23"/>
        </w:rPr>
        <w:t xml:space="preserve"> </w:t>
      </w:r>
    </w:p>
    <w:p w14:paraId="721F22D2" w14:textId="77777777" w:rsidR="00361F50" w:rsidRPr="00361F50" w:rsidRDefault="00361F50" w:rsidP="00361F50">
      <w:pPr>
        <w:jc w:val="both"/>
        <w:rPr>
          <w:rFonts w:ascii="Arial" w:hAnsi="Arial" w:cs="Arial"/>
          <w:sz w:val="23"/>
          <w:szCs w:val="23"/>
        </w:rPr>
      </w:pPr>
      <w:r w:rsidRPr="00361F50">
        <w:rPr>
          <w:rFonts w:ascii="Arial" w:hAnsi="Arial" w:cs="Arial"/>
          <w:b/>
          <w:bCs/>
          <w:sz w:val="23"/>
          <w:szCs w:val="23"/>
        </w:rPr>
        <w:t>Antiriciclaggio Anticorruzione</w:t>
      </w:r>
      <w:r w:rsidRPr="00361F50">
        <w:rPr>
          <w:rFonts w:ascii="Arial" w:hAnsi="Arial" w:cs="Arial"/>
          <w:sz w:val="23"/>
          <w:szCs w:val="23"/>
        </w:rPr>
        <w:t xml:space="preserve">, Annalisa Francese; </w:t>
      </w:r>
      <w:r w:rsidRPr="00361F50">
        <w:rPr>
          <w:rFonts w:ascii="Arial" w:hAnsi="Arial" w:cs="Arial"/>
          <w:b/>
          <w:bCs/>
          <w:sz w:val="23"/>
          <w:szCs w:val="23"/>
        </w:rPr>
        <w:t>Compliance e modelli organizzativi delle imprese</w:t>
      </w:r>
      <w:r w:rsidRPr="00361F50">
        <w:rPr>
          <w:rFonts w:ascii="Arial" w:hAnsi="Arial" w:cs="Arial"/>
          <w:sz w:val="23"/>
          <w:szCs w:val="23"/>
        </w:rPr>
        <w:t xml:space="preserve">, Fabrizio Escheri e Gabriela Savigni; </w:t>
      </w:r>
      <w:r w:rsidRPr="00361F50">
        <w:rPr>
          <w:rFonts w:ascii="Arial" w:hAnsi="Arial" w:cs="Arial"/>
          <w:b/>
          <w:bCs/>
          <w:sz w:val="23"/>
          <w:szCs w:val="23"/>
        </w:rPr>
        <w:t>Compensi Professionali e Deontologia</w:t>
      </w:r>
      <w:r w:rsidRPr="00361F50">
        <w:rPr>
          <w:rFonts w:ascii="Arial" w:hAnsi="Arial" w:cs="Arial"/>
          <w:sz w:val="23"/>
          <w:szCs w:val="23"/>
        </w:rPr>
        <w:t xml:space="preserve">, Michaela Marcarini e Roberto Vittori; </w:t>
      </w:r>
      <w:r w:rsidRPr="00361F50">
        <w:rPr>
          <w:rFonts w:ascii="Arial" w:hAnsi="Arial" w:cs="Arial"/>
          <w:b/>
          <w:bCs/>
          <w:sz w:val="23"/>
          <w:szCs w:val="23"/>
        </w:rPr>
        <w:t>Società cooperative</w:t>
      </w:r>
      <w:r w:rsidRPr="00361F50">
        <w:rPr>
          <w:rFonts w:ascii="Arial" w:hAnsi="Arial" w:cs="Arial"/>
          <w:sz w:val="23"/>
          <w:szCs w:val="23"/>
        </w:rPr>
        <w:t xml:space="preserve">, Gianluca Galletti e Aldo Campo; </w:t>
      </w:r>
      <w:r w:rsidRPr="00361F50">
        <w:rPr>
          <w:rFonts w:ascii="Arial" w:hAnsi="Arial" w:cs="Arial"/>
          <w:b/>
          <w:bCs/>
          <w:sz w:val="23"/>
          <w:szCs w:val="23"/>
        </w:rPr>
        <w:t>Contabilità e revisione degli enti locali</w:t>
      </w:r>
      <w:r w:rsidRPr="00361F50">
        <w:rPr>
          <w:rFonts w:ascii="Arial" w:hAnsi="Arial" w:cs="Arial"/>
          <w:sz w:val="23"/>
          <w:szCs w:val="23"/>
        </w:rPr>
        <w:t xml:space="preserve">, Giuseppe Venneri e Cristina Bertinelli; </w:t>
      </w:r>
      <w:r w:rsidRPr="00361F50">
        <w:rPr>
          <w:rFonts w:ascii="Arial" w:hAnsi="Arial" w:cs="Arial"/>
          <w:b/>
          <w:bCs/>
          <w:sz w:val="23"/>
          <w:szCs w:val="23"/>
        </w:rPr>
        <w:t>Contabilità e revisione delle società a partecipazione pubblica</w:t>
      </w:r>
      <w:r w:rsidRPr="00361F50">
        <w:rPr>
          <w:rFonts w:ascii="Arial" w:hAnsi="Arial" w:cs="Arial"/>
          <w:sz w:val="23"/>
          <w:szCs w:val="23"/>
        </w:rPr>
        <w:t xml:space="preserve">, Gian Alberto Mangiante e Micaela Sette; </w:t>
      </w:r>
      <w:r w:rsidRPr="00361F50">
        <w:rPr>
          <w:rFonts w:ascii="Arial" w:hAnsi="Arial" w:cs="Arial"/>
          <w:b/>
          <w:bCs/>
          <w:sz w:val="23"/>
          <w:szCs w:val="23"/>
        </w:rPr>
        <w:t>Economia e fiscalità del lavoro</w:t>
      </w:r>
      <w:r w:rsidRPr="00361F50">
        <w:rPr>
          <w:rFonts w:ascii="Arial" w:hAnsi="Arial" w:cs="Arial"/>
          <w:sz w:val="23"/>
          <w:szCs w:val="23"/>
        </w:rPr>
        <w:t xml:space="preserve">, Aldo Campo e Annalisa Francese; </w:t>
      </w:r>
      <w:r w:rsidRPr="00361F50">
        <w:rPr>
          <w:rFonts w:ascii="Arial" w:hAnsi="Arial" w:cs="Arial"/>
          <w:b/>
          <w:bCs/>
          <w:sz w:val="23"/>
          <w:szCs w:val="23"/>
        </w:rPr>
        <w:t>Enti del terzo settore</w:t>
      </w:r>
      <w:r w:rsidRPr="00361F50">
        <w:rPr>
          <w:rFonts w:ascii="Arial" w:hAnsi="Arial" w:cs="Arial"/>
          <w:sz w:val="23"/>
          <w:szCs w:val="23"/>
        </w:rPr>
        <w:t xml:space="preserve">, David Moro; </w:t>
      </w:r>
      <w:r w:rsidRPr="00361F50">
        <w:rPr>
          <w:rFonts w:ascii="Arial" w:hAnsi="Arial" w:cs="Arial"/>
          <w:b/>
          <w:bCs/>
          <w:sz w:val="23"/>
          <w:szCs w:val="23"/>
        </w:rPr>
        <w:t>Finanza aziendale</w:t>
      </w:r>
      <w:r w:rsidRPr="00361F50">
        <w:rPr>
          <w:rFonts w:ascii="Arial" w:hAnsi="Arial" w:cs="Arial"/>
          <w:sz w:val="23"/>
          <w:szCs w:val="23"/>
        </w:rPr>
        <w:t xml:space="preserve">, Antonio Repaci e Eustachio Quintano; </w:t>
      </w:r>
      <w:r w:rsidRPr="00361F50">
        <w:rPr>
          <w:rFonts w:ascii="Arial" w:hAnsi="Arial" w:cs="Arial"/>
          <w:b/>
          <w:bCs/>
          <w:sz w:val="23"/>
          <w:szCs w:val="23"/>
        </w:rPr>
        <w:t>Fiscalità Enti Locali</w:t>
      </w:r>
      <w:r w:rsidRPr="00361F50">
        <w:rPr>
          <w:rFonts w:ascii="Arial" w:hAnsi="Arial" w:cs="Arial"/>
          <w:sz w:val="23"/>
          <w:szCs w:val="23"/>
        </w:rPr>
        <w:t xml:space="preserve">, Eustachio Quintano e Roberto Vittori;  </w:t>
      </w:r>
      <w:r w:rsidRPr="00361F50">
        <w:rPr>
          <w:rFonts w:ascii="Arial" w:hAnsi="Arial" w:cs="Arial"/>
          <w:b/>
          <w:bCs/>
          <w:sz w:val="23"/>
          <w:szCs w:val="23"/>
        </w:rPr>
        <w:t>Fiscalità</w:t>
      </w:r>
      <w:r w:rsidRPr="00361F50">
        <w:rPr>
          <w:rFonts w:ascii="Arial" w:hAnsi="Arial" w:cs="Arial"/>
          <w:sz w:val="23"/>
          <w:szCs w:val="23"/>
        </w:rPr>
        <w:t xml:space="preserve">, Vincenzo Moretta; </w:t>
      </w:r>
      <w:r w:rsidRPr="00361F50">
        <w:rPr>
          <w:rFonts w:ascii="Arial" w:hAnsi="Arial" w:cs="Arial"/>
          <w:b/>
          <w:bCs/>
          <w:sz w:val="23"/>
          <w:szCs w:val="23"/>
        </w:rPr>
        <w:t>Contenzioso tributario</w:t>
      </w:r>
      <w:r w:rsidRPr="00361F50">
        <w:rPr>
          <w:rFonts w:ascii="Arial" w:hAnsi="Arial" w:cs="Arial"/>
          <w:sz w:val="23"/>
          <w:szCs w:val="23"/>
        </w:rPr>
        <w:t xml:space="preserve">, Rosa D'Angiolella e Micaela Sette; </w:t>
      </w:r>
      <w:r w:rsidRPr="00361F50">
        <w:rPr>
          <w:rFonts w:ascii="Arial" w:hAnsi="Arial" w:cs="Arial"/>
          <w:b/>
          <w:bCs/>
          <w:sz w:val="23"/>
          <w:szCs w:val="23"/>
        </w:rPr>
        <w:t>Arbitrato e Conciliazione</w:t>
      </w:r>
      <w:r w:rsidRPr="00361F50">
        <w:rPr>
          <w:rFonts w:ascii="Arial" w:hAnsi="Arial" w:cs="Arial"/>
          <w:sz w:val="23"/>
          <w:szCs w:val="23"/>
        </w:rPr>
        <w:t xml:space="preserve">, Cristina Marrone; </w:t>
      </w:r>
      <w:r w:rsidRPr="00361F50">
        <w:rPr>
          <w:rFonts w:ascii="Arial" w:hAnsi="Arial" w:cs="Arial"/>
          <w:b/>
          <w:bCs/>
          <w:sz w:val="23"/>
          <w:szCs w:val="23"/>
        </w:rPr>
        <w:t>Funzioni giudiziarie e ADR</w:t>
      </w:r>
      <w:r w:rsidRPr="00361F50">
        <w:rPr>
          <w:rFonts w:ascii="Arial" w:hAnsi="Arial" w:cs="Arial"/>
          <w:sz w:val="23"/>
          <w:szCs w:val="23"/>
        </w:rPr>
        <w:t xml:space="preserve">, Giovanna Greco; </w:t>
      </w:r>
      <w:r w:rsidRPr="00361F50">
        <w:rPr>
          <w:rFonts w:ascii="Arial" w:hAnsi="Arial" w:cs="Arial"/>
          <w:b/>
          <w:bCs/>
          <w:sz w:val="23"/>
          <w:szCs w:val="23"/>
        </w:rPr>
        <w:t>Innovazione e digitalizzazione degli studi professionali e delle imprese</w:t>
      </w:r>
      <w:r w:rsidRPr="00361F50">
        <w:rPr>
          <w:rFonts w:ascii="Arial" w:hAnsi="Arial" w:cs="Arial"/>
          <w:sz w:val="23"/>
          <w:szCs w:val="23"/>
        </w:rPr>
        <w:t xml:space="preserve">, Fabrizio Escheri; </w:t>
      </w:r>
      <w:r w:rsidRPr="00361F50">
        <w:rPr>
          <w:rFonts w:ascii="Arial" w:hAnsi="Arial" w:cs="Arial"/>
          <w:b/>
          <w:bCs/>
          <w:sz w:val="23"/>
          <w:szCs w:val="23"/>
        </w:rPr>
        <w:t>Diritto societario</w:t>
      </w:r>
      <w:r w:rsidRPr="00361F50">
        <w:rPr>
          <w:rFonts w:ascii="Arial" w:hAnsi="Arial" w:cs="Arial"/>
          <w:sz w:val="23"/>
          <w:szCs w:val="23"/>
        </w:rPr>
        <w:t xml:space="preserve">, David Moro e Gabriela Savigni; </w:t>
      </w:r>
      <w:r w:rsidRPr="00361F50">
        <w:rPr>
          <w:rFonts w:ascii="Arial" w:hAnsi="Arial" w:cs="Arial"/>
          <w:b/>
          <w:bCs/>
          <w:sz w:val="23"/>
          <w:szCs w:val="23"/>
        </w:rPr>
        <w:t>Politiche di genere</w:t>
      </w:r>
      <w:r w:rsidRPr="00361F50">
        <w:rPr>
          <w:rFonts w:ascii="Arial" w:hAnsi="Arial" w:cs="Arial"/>
          <w:sz w:val="23"/>
          <w:szCs w:val="23"/>
        </w:rPr>
        <w:t xml:space="preserve">, Rosa D'Angiolella e Liliana Smargiassi; </w:t>
      </w:r>
      <w:r w:rsidRPr="00361F50">
        <w:rPr>
          <w:rFonts w:ascii="Arial" w:hAnsi="Arial" w:cs="Arial"/>
          <w:b/>
          <w:bCs/>
          <w:sz w:val="23"/>
          <w:szCs w:val="23"/>
        </w:rPr>
        <w:t>Politiche giovanili</w:t>
      </w:r>
      <w:r w:rsidRPr="00361F50">
        <w:rPr>
          <w:rFonts w:ascii="Arial" w:hAnsi="Arial" w:cs="Arial"/>
          <w:sz w:val="23"/>
          <w:szCs w:val="23"/>
        </w:rPr>
        <w:t xml:space="preserve">, Cristina Marrone; </w:t>
      </w:r>
      <w:r w:rsidRPr="00361F50">
        <w:rPr>
          <w:rFonts w:ascii="Arial" w:hAnsi="Arial" w:cs="Arial"/>
          <w:b/>
          <w:bCs/>
          <w:sz w:val="23"/>
          <w:szCs w:val="23"/>
        </w:rPr>
        <w:t>Gestione della crisi d'impresa e procedure concorsuali</w:t>
      </w:r>
      <w:r w:rsidRPr="00361F50">
        <w:rPr>
          <w:rFonts w:ascii="Arial" w:hAnsi="Arial" w:cs="Arial"/>
          <w:sz w:val="23"/>
          <w:szCs w:val="23"/>
        </w:rPr>
        <w:t xml:space="preserve">, Antonio Repaci; </w:t>
      </w:r>
      <w:r w:rsidRPr="00361F50">
        <w:rPr>
          <w:rFonts w:ascii="Arial" w:hAnsi="Arial" w:cs="Arial"/>
          <w:b/>
          <w:bCs/>
          <w:sz w:val="23"/>
          <w:szCs w:val="23"/>
        </w:rPr>
        <w:t>Sistemi di controllo e revisione legale (</w:t>
      </w:r>
      <w:proofErr w:type="spellStart"/>
      <w:r w:rsidRPr="00361F50">
        <w:rPr>
          <w:rFonts w:ascii="Arial" w:hAnsi="Arial" w:cs="Arial"/>
          <w:b/>
          <w:bCs/>
          <w:sz w:val="23"/>
          <w:szCs w:val="23"/>
        </w:rPr>
        <w:t>financial</w:t>
      </w:r>
      <w:proofErr w:type="spellEnd"/>
      <w:r w:rsidRPr="00361F50">
        <w:rPr>
          <w:rFonts w:ascii="Arial" w:hAnsi="Arial" w:cs="Arial"/>
          <w:b/>
          <w:bCs/>
          <w:sz w:val="23"/>
          <w:szCs w:val="23"/>
        </w:rPr>
        <w:t xml:space="preserve"> e non </w:t>
      </w:r>
      <w:proofErr w:type="spellStart"/>
      <w:r w:rsidRPr="00361F50">
        <w:rPr>
          <w:rFonts w:ascii="Arial" w:hAnsi="Arial" w:cs="Arial"/>
          <w:b/>
          <w:bCs/>
          <w:sz w:val="23"/>
          <w:szCs w:val="23"/>
        </w:rPr>
        <w:t>financial</w:t>
      </w:r>
      <w:proofErr w:type="spellEnd"/>
      <w:r w:rsidRPr="00361F50">
        <w:rPr>
          <w:rFonts w:ascii="Arial" w:hAnsi="Arial" w:cs="Arial"/>
          <w:b/>
          <w:bCs/>
          <w:sz w:val="23"/>
          <w:szCs w:val="23"/>
        </w:rPr>
        <w:t>)</w:t>
      </w:r>
      <w:r w:rsidRPr="00361F50">
        <w:rPr>
          <w:rFonts w:ascii="Arial" w:hAnsi="Arial" w:cs="Arial"/>
          <w:sz w:val="23"/>
          <w:szCs w:val="23"/>
        </w:rPr>
        <w:t xml:space="preserve">, Gianluca Ancarani e Michaela Marcarini; </w:t>
      </w:r>
      <w:r w:rsidRPr="00361F50">
        <w:rPr>
          <w:rFonts w:ascii="Arial" w:hAnsi="Arial" w:cs="Arial"/>
          <w:b/>
          <w:bCs/>
          <w:sz w:val="23"/>
          <w:szCs w:val="23"/>
        </w:rPr>
        <w:t>Sviluppo sostenibile (reporting, consulenza, formazione)</w:t>
      </w:r>
      <w:r w:rsidRPr="00361F50">
        <w:rPr>
          <w:rFonts w:ascii="Arial" w:hAnsi="Arial" w:cs="Arial"/>
          <w:sz w:val="23"/>
          <w:szCs w:val="23"/>
        </w:rPr>
        <w:t xml:space="preserve">, Gianluca Galletti e Gian Alberto Mangiante; </w:t>
      </w:r>
      <w:r w:rsidRPr="00361F50">
        <w:rPr>
          <w:rFonts w:ascii="Arial" w:hAnsi="Arial" w:cs="Arial"/>
          <w:b/>
          <w:bCs/>
          <w:sz w:val="23"/>
          <w:szCs w:val="23"/>
        </w:rPr>
        <w:t>Università, tirocinio e formazione continua</w:t>
      </w:r>
      <w:r w:rsidRPr="00361F50">
        <w:rPr>
          <w:rFonts w:ascii="Arial" w:hAnsi="Arial" w:cs="Arial"/>
          <w:sz w:val="23"/>
          <w:szCs w:val="23"/>
        </w:rPr>
        <w:t xml:space="preserve">, Liliana Smargiassi e Annalisa Francese; </w:t>
      </w:r>
      <w:r w:rsidRPr="00361F50">
        <w:rPr>
          <w:rFonts w:ascii="Arial" w:hAnsi="Arial" w:cs="Arial"/>
          <w:b/>
          <w:bCs/>
          <w:sz w:val="23"/>
          <w:szCs w:val="23"/>
        </w:rPr>
        <w:t>Riforma Ordinamento Professionale</w:t>
      </w:r>
      <w:r w:rsidRPr="00361F50">
        <w:rPr>
          <w:rFonts w:ascii="Arial" w:hAnsi="Arial" w:cs="Arial"/>
          <w:sz w:val="23"/>
          <w:szCs w:val="23"/>
        </w:rPr>
        <w:t xml:space="preserve">, Ufficio di Presidenza; </w:t>
      </w:r>
      <w:r w:rsidRPr="00361F50">
        <w:rPr>
          <w:rFonts w:ascii="Arial" w:hAnsi="Arial" w:cs="Arial"/>
          <w:b/>
          <w:bCs/>
          <w:sz w:val="23"/>
          <w:szCs w:val="23"/>
        </w:rPr>
        <w:t>Rapporti con gli Ordini Territoriali</w:t>
      </w:r>
      <w:r w:rsidRPr="00361F50">
        <w:rPr>
          <w:rFonts w:ascii="Arial" w:hAnsi="Arial" w:cs="Arial"/>
          <w:sz w:val="23"/>
          <w:szCs w:val="23"/>
        </w:rPr>
        <w:t xml:space="preserve">, Ufficio di Presidenza; </w:t>
      </w:r>
      <w:r w:rsidRPr="00361F50">
        <w:rPr>
          <w:rFonts w:ascii="Arial" w:hAnsi="Arial" w:cs="Arial"/>
          <w:b/>
          <w:bCs/>
          <w:sz w:val="23"/>
          <w:szCs w:val="23"/>
        </w:rPr>
        <w:t>Rapporti con le organizzazioni internazionali</w:t>
      </w:r>
      <w:r w:rsidRPr="00361F50">
        <w:rPr>
          <w:rFonts w:ascii="Arial" w:hAnsi="Arial" w:cs="Arial"/>
          <w:sz w:val="23"/>
          <w:szCs w:val="23"/>
        </w:rPr>
        <w:t xml:space="preserve">, Presidente Elbano de Nuccio; </w:t>
      </w:r>
      <w:r w:rsidRPr="00361F50">
        <w:rPr>
          <w:rFonts w:ascii="Arial" w:hAnsi="Arial" w:cs="Arial"/>
          <w:b/>
          <w:bCs/>
          <w:sz w:val="23"/>
          <w:szCs w:val="23"/>
        </w:rPr>
        <w:t>Rapporti con le Casse di Previdenza Professionali</w:t>
      </w:r>
      <w:r w:rsidRPr="00361F50">
        <w:rPr>
          <w:rFonts w:ascii="Arial" w:hAnsi="Arial" w:cs="Arial"/>
          <w:sz w:val="23"/>
          <w:szCs w:val="23"/>
        </w:rPr>
        <w:t xml:space="preserve">, Ufficio di Presidenza; </w:t>
      </w:r>
      <w:r w:rsidRPr="00361F50">
        <w:rPr>
          <w:rFonts w:ascii="Arial" w:hAnsi="Arial" w:cs="Arial"/>
          <w:b/>
          <w:bCs/>
          <w:sz w:val="23"/>
          <w:szCs w:val="23"/>
        </w:rPr>
        <w:t>Rapporti con le Associazioni sindacali di categoria</w:t>
      </w:r>
      <w:r w:rsidRPr="00361F50">
        <w:rPr>
          <w:rFonts w:ascii="Arial" w:hAnsi="Arial" w:cs="Arial"/>
          <w:sz w:val="23"/>
          <w:szCs w:val="23"/>
        </w:rPr>
        <w:t xml:space="preserve">, Ufficio di Presidenza; </w:t>
      </w:r>
      <w:r w:rsidRPr="00361F50">
        <w:rPr>
          <w:rFonts w:ascii="Arial" w:hAnsi="Arial" w:cs="Arial"/>
          <w:b/>
          <w:bCs/>
          <w:sz w:val="23"/>
          <w:szCs w:val="23"/>
        </w:rPr>
        <w:t>Rapporti con le Fondazioni Nazionali Commercialisti</w:t>
      </w:r>
      <w:r w:rsidRPr="00361F50">
        <w:rPr>
          <w:rFonts w:ascii="Arial" w:hAnsi="Arial" w:cs="Arial"/>
          <w:sz w:val="23"/>
          <w:szCs w:val="23"/>
        </w:rPr>
        <w:t xml:space="preserve">, Ufficio di Presidenza; </w:t>
      </w:r>
      <w:r w:rsidRPr="00361F50">
        <w:rPr>
          <w:rFonts w:ascii="Arial" w:hAnsi="Arial" w:cs="Arial"/>
          <w:b/>
          <w:bCs/>
          <w:sz w:val="23"/>
          <w:szCs w:val="23"/>
        </w:rPr>
        <w:t>ZES+IA</w:t>
      </w:r>
      <w:r w:rsidRPr="00361F50">
        <w:rPr>
          <w:rFonts w:ascii="Arial" w:hAnsi="Arial" w:cs="Arial"/>
          <w:sz w:val="23"/>
          <w:szCs w:val="23"/>
        </w:rPr>
        <w:t xml:space="preserve">, Ufficio di Presidenza; </w:t>
      </w:r>
      <w:r w:rsidRPr="00361F50">
        <w:rPr>
          <w:rFonts w:ascii="Arial" w:hAnsi="Arial" w:cs="Arial"/>
          <w:b/>
          <w:bCs/>
          <w:sz w:val="23"/>
          <w:szCs w:val="23"/>
        </w:rPr>
        <w:t>Principi contabili e di valutazione</w:t>
      </w:r>
      <w:r w:rsidRPr="00361F50">
        <w:rPr>
          <w:rFonts w:ascii="Arial" w:hAnsi="Arial" w:cs="Arial"/>
          <w:sz w:val="23"/>
          <w:szCs w:val="23"/>
        </w:rPr>
        <w:t xml:space="preserve">, Presidente Elbano de Nuccio.     </w:t>
      </w:r>
    </w:p>
    <w:p w14:paraId="2F87D2F1" w14:textId="77777777" w:rsidR="00361F50" w:rsidRPr="00361F50" w:rsidRDefault="00361F50" w:rsidP="00361F50">
      <w:pPr>
        <w:jc w:val="both"/>
        <w:rPr>
          <w:rFonts w:ascii="Arial" w:hAnsi="Arial" w:cs="Arial"/>
          <w:sz w:val="23"/>
          <w:szCs w:val="23"/>
        </w:rPr>
      </w:pPr>
      <w:r w:rsidRPr="00361F50">
        <w:rPr>
          <w:rFonts w:ascii="Arial" w:hAnsi="Arial" w:cs="Arial"/>
          <w:sz w:val="23"/>
          <w:szCs w:val="23"/>
        </w:rPr>
        <w:t>(Ufficio di Presidenza: Presidente, Vicepresidente, Segretario, Tesoriere)</w:t>
      </w:r>
    </w:p>
    <w:p w14:paraId="08B43CBF" w14:textId="77777777" w:rsidR="00361F50" w:rsidRPr="00361F50" w:rsidRDefault="00361F50" w:rsidP="00361F50">
      <w:pPr>
        <w:jc w:val="both"/>
        <w:rPr>
          <w:rFonts w:ascii="Arial" w:hAnsi="Arial" w:cs="Arial"/>
          <w:sz w:val="23"/>
          <w:szCs w:val="23"/>
        </w:rPr>
      </w:pPr>
      <w:r w:rsidRPr="00361F50">
        <w:rPr>
          <w:rFonts w:ascii="Arial" w:hAnsi="Arial" w:cs="Arial"/>
          <w:sz w:val="23"/>
          <w:szCs w:val="23"/>
        </w:rPr>
        <w:t xml:space="preserve"> </w:t>
      </w:r>
    </w:p>
    <w:p w14:paraId="058B3306" w14:textId="77777777" w:rsidR="00361F50" w:rsidRPr="00361F50" w:rsidRDefault="00361F50" w:rsidP="00361F50">
      <w:pPr>
        <w:jc w:val="both"/>
        <w:rPr>
          <w:rFonts w:ascii="Arial" w:hAnsi="Arial" w:cs="Arial"/>
          <w:sz w:val="23"/>
          <w:szCs w:val="23"/>
        </w:rPr>
      </w:pPr>
      <w:r w:rsidRPr="00361F50">
        <w:rPr>
          <w:rFonts w:ascii="Arial" w:hAnsi="Arial" w:cs="Arial"/>
          <w:sz w:val="23"/>
          <w:szCs w:val="23"/>
        </w:rPr>
        <w:t xml:space="preserve"> </w:t>
      </w:r>
    </w:p>
    <w:p w14:paraId="7458EDB8" w14:textId="67B08485" w:rsidR="00F35160" w:rsidRPr="00361F50" w:rsidRDefault="00F35160" w:rsidP="00361F50">
      <w:pPr>
        <w:jc w:val="both"/>
        <w:rPr>
          <w:rFonts w:ascii="Arial" w:hAnsi="Arial" w:cs="Arial"/>
          <w:sz w:val="23"/>
          <w:szCs w:val="23"/>
        </w:rPr>
      </w:pPr>
    </w:p>
    <w:sectPr w:rsidR="00F35160" w:rsidRPr="00361F50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C8710" w14:textId="77777777" w:rsidR="002A066E" w:rsidRDefault="002A066E" w:rsidP="00E57E76">
      <w:r>
        <w:separator/>
      </w:r>
    </w:p>
  </w:endnote>
  <w:endnote w:type="continuationSeparator" w:id="0">
    <w:p w14:paraId="6D831DE3" w14:textId="77777777" w:rsidR="002A066E" w:rsidRDefault="002A066E" w:rsidP="00E57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C5686" w14:textId="77777777" w:rsidR="002A066E" w:rsidRDefault="002A066E" w:rsidP="00E57E76">
      <w:r>
        <w:separator/>
      </w:r>
    </w:p>
  </w:footnote>
  <w:footnote w:type="continuationSeparator" w:id="0">
    <w:p w14:paraId="3F4DB8E3" w14:textId="77777777" w:rsidR="002A066E" w:rsidRDefault="002A066E" w:rsidP="00E57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6EDF" w14:textId="5B3C50DB" w:rsidR="00E57E76" w:rsidRDefault="00E57E76" w:rsidP="00E57E76">
    <w:pPr>
      <w:pStyle w:val="Intestazione"/>
      <w:jc w:val="center"/>
    </w:pPr>
    <w:r w:rsidRPr="00F6138D">
      <w:rPr>
        <w:noProof/>
      </w:rPr>
      <w:drawing>
        <wp:inline distT="0" distB="0" distL="0" distR="0" wp14:anchorId="33F6BB06" wp14:editId="1B71AA60">
          <wp:extent cx="2314575" cy="781050"/>
          <wp:effectExtent l="0" t="0" r="0" b="0"/>
          <wp:docPr id="1109192327" name="Immagine 1" descr="CNDC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NDC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A9"/>
    <w:rsid w:val="00016F1E"/>
    <w:rsid w:val="00080A1C"/>
    <w:rsid w:val="0009032C"/>
    <w:rsid w:val="000914E5"/>
    <w:rsid w:val="000A1EBC"/>
    <w:rsid w:val="000A3779"/>
    <w:rsid w:val="000A4281"/>
    <w:rsid w:val="000A6336"/>
    <w:rsid w:val="000C2215"/>
    <w:rsid w:val="000C3B75"/>
    <w:rsid w:val="00124645"/>
    <w:rsid w:val="00181D23"/>
    <w:rsid w:val="001A602B"/>
    <w:rsid w:val="001A67A4"/>
    <w:rsid w:val="001C5DED"/>
    <w:rsid w:val="001D2BA2"/>
    <w:rsid w:val="001F6282"/>
    <w:rsid w:val="00206A49"/>
    <w:rsid w:val="0021356C"/>
    <w:rsid w:val="00214077"/>
    <w:rsid w:val="00231A54"/>
    <w:rsid w:val="002350C8"/>
    <w:rsid w:val="0025265D"/>
    <w:rsid w:val="00285BF7"/>
    <w:rsid w:val="002948ED"/>
    <w:rsid w:val="002A066E"/>
    <w:rsid w:val="002A3DB7"/>
    <w:rsid w:val="002C3AEC"/>
    <w:rsid w:val="002D279B"/>
    <w:rsid w:val="00333D91"/>
    <w:rsid w:val="00336C2D"/>
    <w:rsid w:val="00361F50"/>
    <w:rsid w:val="003756F7"/>
    <w:rsid w:val="00385A6A"/>
    <w:rsid w:val="003861F7"/>
    <w:rsid w:val="003A11BA"/>
    <w:rsid w:val="003A4A5D"/>
    <w:rsid w:val="003A7845"/>
    <w:rsid w:val="003A7DDE"/>
    <w:rsid w:val="003B3DC6"/>
    <w:rsid w:val="003E19E8"/>
    <w:rsid w:val="003F070C"/>
    <w:rsid w:val="00427E55"/>
    <w:rsid w:val="0044215B"/>
    <w:rsid w:val="00447C56"/>
    <w:rsid w:val="004514D9"/>
    <w:rsid w:val="00451EBE"/>
    <w:rsid w:val="00464BDB"/>
    <w:rsid w:val="00497D30"/>
    <w:rsid w:val="004C6486"/>
    <w:rsid w:val="004F296B"/>
    <w:rsid w:val="005035C9"/>
    <w:rsid w:val="0055064E"/>
    <w:rsid w:val="00557C2D"/>
    <w:rsid w:val="00584665"/>
    <w:rsid w:val="00594C5A"/>
    <w:rsid w:val="005C19C5"/>
    <w:rsid w:val="005C3BD4"/>
    <w:rsid w:val="005E0C94"/>
    <w:rsid w:val="005E0DE9"/>
    <w:rsid w:val="005F4DF3"/>
    <w:rsid w:val="006455AB"/>
    <w:rsid w:val="006603D8"/>
    <w:rsid w:val="006774DD"/>
    <w:rsid w:val="006B004B"/>
    <w:rsid w:val="006B63E7"/>
    <w:rsid w:val="006E1AD5"/>
    <w:rsid w:val="006E3950"/>
    <w:rsid w:val="006E423A"/>
    <w:rsid w:val="007119C0"/>
    <w:rsid w:val="007529BD"/>
    <w:rsid w:val="0077621F"/>
    <w:rsid w:val="00787E73"/>
    <w:rsid w:val="008002A9"/>
    <w:rsid w:val="0086461C"/>
    <w:rsid w:val="00873F1F"/>
    <w:rsid w:val="008943DF"/>
    <w:rsid w:val="008F5B89"/>
    <w:rsid w:val="00920A11"/>
    <w:rsid w:val="0092493B"/>
    <w:rsid w:val="00943BE2"/>
    <w:rsid w:val="00950B3B"/>
    <w:rsid w:val="00953FF4"/>
    <w:rsid w:val="00976A30"/>
    <w:rsid w:val="00994AF4"/>
    <w:rsid w:val="009A049E"/>
    <w:rsid w:val="009C4CCA"/>
    <w:rsid w:val="009D1E10"/>
    <w:rsid w:val="00A06705"/>
    <w:rsid w:val="00AC0512"/>
    <w:rsid w:val="00AE6349"/>
    <w:rsid w:val="00B3602A"/>
    <w:rsid w:val="00B8251F"/>
    <w:rsid w:val="00BB10F5"/>
    <w:rsid w:val="00C15AA9"/>
    <w:rsid w:val="00C22AE6"/>
    <w:rsid w:val="00C26265"/>
    <w:rsid w:val="00C31B66"/>
    <w:rsid w:val="00C63053"/>
    <w:rsid w:val="00C909CC"/>
    <w:rsid w:val="00C9231A"/>
    <w:rsid w:val="00C965D0"/>
    <w:rsid w:val="00CA794E"/>
    <w:rsid w:val="00CB3C8A"/>
    <w:rsid w:val="00CC0AFF"/>
    <w:rsid w:val="00D21CF3"/>
    <w:rsid w:val="00D23044"/>
    <w:rsid w:val="00D327C3"/>
    <w:rsid w:val="00D33190"/>
    <w:rsid w:val="00D4645C"/>
    <w:rsid w:val="00D83F6E"/>
    <w:rsid w:val="00D84E83"/>
    <w:rsid w:val="00D916FD"/>
    <w:rsid w:val="00D93E8C"/>
    <w:rsid w:val="00DB091C"/>
    <w:rsid w:val="00DE7CA9"/>
    <w:rsid w:val="00E024D0"/>
    <w:rsid w:val="00E30E7A"/>
    <w:rsid w:val="00E57E76"/>
    <w:rsid w:val="00E72AE3"/>
    <w:rsid w:val="00E81C41"/>
    <w:rsid w:val="00EE24F3"/>
    <w:rsid w:val="00EE5EF9"/>
    <w:rsid w:val="00F22822"/>
    <w:rsid w:val="00F31DE2"/>
    <w:rsid w:val="00F35160"/>
    <w:rsid w:val="00F420E3"/>
    <w:rsid w:val="00F52DB5"/>
    <w:rsid w:val="00F64DFA"/>
    <w:rsid w:val="00F817D8"/>
    <w:rsid w:val="00F835B2"/>
    <w:rsid w:val="00F93505"/>
    <w:rsid w:val="00FD5C27"/>
    <w:rsid w:val="00FE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E97FB"/>
  <w15:chartTrackingRefBased/>
  <w15:docId w15:val="{837C2FF3-9097-4FC4-8CD8-AC487488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049E"/>
    <w:pPr>
      <w:spacing w:after="0" w:line="240" w:lineRule="auto"/>
    </w:pPr>
    <w:rPr>
      <w:rFonts w:ascii="Aptos" w:hAnsi="Aptos" w:cs="Aptos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15A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5A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5A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5A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5A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5A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5A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5A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5A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5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5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5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5A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5A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5A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5A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5A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5A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5A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15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5A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5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5AA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5A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5AA9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15A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5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5A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5AA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C15AA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C15AA9"/>
    <w:rPr>
      <w:b/>
      <w:bCs/>
    </w:rPr>
  </w:style>
  <w:style w:type="character" w:styleId="Enfasicorsivo">
    <w:name w:val="Emphasis"/>
    <w:basedOn w:val="Carpredefinitoparagrafo"/>
    <w:uiPriority w:val="20"/>
    <w:qFormat/>
    <w:rsid w:val="00C15AA9"/>
    <w:rPr>
      <w:i/>
      <w:iCs/>
    </w:rPr>
  </w:style>
  <w:style w:type="paragraph" w:customStyle="1" w:styleId="elementtoproof">
    <w:name w:val="elementtoproof"/>
    <w:basedOn w:val="Normale"/>
    <w:rsid w:val="009A049E"/>
  </w:style>
  <w:style w:type="paragraph" w:styleId="Intestazione">
    <w:name w:val="header"/>
    <w:basedOn w:val="Normale"/>
    <w:link w:val="IntestazioneCarattere"/>
    <w:uiPriority w:val="99"/>
    <w:unhideWhenUsed/>
    <w:rsid w:val="00E57E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E76"/>
    <w:rPr>
      <w:rFonts w:ascii="Aptos" w:hAnsi="Aptos" w:cs="Aptos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57E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E76"/>
    <w:rPr>
      <w:rFonts w:ascii="Aptos" w:hAnsi="Aptos" w:cs="Aptos"/>
      <w:kern w:val="0"/>
      <w:lang w:eastAsia="it-IT"/>
      <w14:ligatures w14:val="none"/>
    </w:rPr>
  </w:style>
  <w:style w:type="paragraph" w:styleId="Testonotaapidipagina">
    <w:name w:val="footnote text"/>
    <w:aliases w:val="Testo nota a piè di pagina Giap,rr_Testo nota a piè di pagina,Carattere,Carattere Carattere, Carattere,Nota_2,Testo nota a piè di pagina Carattere Carattere,Testo nota a piè di pagina Carattere1 Carattere Carattere,note,o,f,fn"/>
    <w:basedOn w:val="Normale"/>
    <w:link w:val="TestonotaapidipaginaCarattere"/>
    <w:uiPriority w:val="99"/>
    <w:unhideWhenUsed/>
    <w:qFormat/>
    <w:rsid w:val="00F22822"/>
    <w:pPr>
      <w:jc w:val="both"/>
    </w:pPr>
    <w:rPr>
      <w:rFonts w:asciiTheme="minorHAnsi" w:eastAsiaTheme="minorEastAsia" w:hAnsiTheme="minorHAnsi" w:cstheme="minorBidi"/>
      <w:color w:val="595959" w:themeColor="text1" w:themeTint="A6"/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Testo nota a piè di pagina Giap Carattere,rr_Testo nota a piè di pagina Carattere,Carattere Carattere1,Carattere Carattere Carattere, Carattere Carattere,Nota_2 Carattere,note Carattere,o Carattere,f Carattere"/>
    <w:basedOn w:val="Carpredefinitoparagrafo"/>
    <w:link w:val="Testonotaapidipagina"/>
    <w:uiPriority w:val="99"/>
    <w:rsid w:val="00F22822"/>
    <w:rPr>
      <w:rFonts w:eastAsiaTheme="minorEastAsia"/>
      <w:color w:val="595959" w:themeColor="text1" w:themeTint="A6"/>
      <w:kern w:val="0"/>
      <w:sz w:val="20"/>
      <w:szCs w:val="20"/>
      <w14:ligatures w14:val="none"/>
    </w:rPr>
  </w:style>
  <w:style w:type="character" w:styleId="Rimandonotaapidipagina">
    <w:name w:val="footnote reference"/>
    <w:aliases w:val="Rimando nota a piè di pagina 2,Testo a piè di pagina,(Footnote Reference),SUPERS,EN Footnote Reference,Footnote symbol,Footnote reference number,note TESI,Footnote,Footnote number,fr,Footnotemark,FR,Footnotemark1,Footnotemar"/>
    <w:uiPriority w:val="99"/>
    <w:unhideWhenUsed/>
    <w:qFormat/>
    <w:rsid w:val="00F22822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5F4DF3"/>
    <w:rPr>
      <w:color w:val="467886" w:themeColor="hyperlink"/>
      <w:u w:val="single"/>
    </w:rPr>
  </w:style>
  <w:style w:type="paragraph" w:customStyle="1" w:styleId="Copertina-Autori">
    <w:name w:val="Copertina - Autori"/>
    <w:basedOn w:val="Normale"/>
    <w:qFormat/>
    <w:rsid w:val="0077621F"/>
    <w:pPr>
      <w:spacing w:after="120" w:line="312" w:lineRule="auto"/>
      <w:jc w:val="both"/>
    </w:pPr>
    <w:rPr>
      <w:rFonts w:asciiTheme="minorHAnsi" w:eastAsia="Calibri" w:hAnsiTheme="minorHAnsi" w:cs="Times New Roman (Corpo CS)"/>
      <w:b/>
      <w:bCs/>
      <w:color w:val="FFFFFF" w:themeColor="background1"/>
      <w:sz w:val="26"/>
      <w:szCs w:val="28"/>
      <w:lang w:eastAsia="en-US"/>
    </w:rPr>
  </w:style>
  <w:style w:type="paragraph" w:styleId="Revisione">
    <w:name w:val="Revision"/>
    <w:hidden/>
    <w:uiPriority w:val="99"/>
    <w:semiHidden/>
    <w:rsid w:val="008002A9"/>
    <w:pPr>
      <w:spacing w:after="0" w:line="240" w:lineRule="auto"/>
    </w:pPr>
    <w:rPr>
      <w:rFonts w:ascii="Aptos" w:hAnsi="Aptos" w:cs="Aptos"/>
      <w:kern w:val="0"/>
      <w:lang w:eastAsia="it-IT"/>
      <w14:ligatures w14:val="none"/>
    </w:rPr>
  </w:style>
  <w:style w:type="paragraph" w:customStyle="1" w:styleId="TipoDocumento">
    <w:name w:val="Tipo Documento"/>
    <w:basedOn w:val="Normale"/>
    <w:qFormat/>
    <w:rsid w:val="00920A11"/>
    <w:pPr>
      <w:spacing w:after="200"/>
      <w:jc w:val="both"/>
    </w:pPr>
    <w:rPr>
      <w:rFonts w:asciiTheme="minorHAnsi" w:eastAsiaTheme="minorEastAsia" w:hAnsiTheme="minorHAnsi" w:cs="Times New Roman (Corpo CS)"/>
      <w:b/>
      <w:bCs/>
      <w:caps/>
      <w:color w:val="C00000"/>
      <w:spacing w:val="20"/>
      <w:sz w:val="20"/>
      <w:szCs w:val="21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Mastrogiacomo Tiziana</cp:lastModifiedBy>
  <cp:revision>9</cp:revision>
  <dcterms:created xsi:type="dcterms:W3CDTF">2026-06-08T13:32:00Z</dcterms:created>
  <dcterms:modified xsi:type="dcterms:W3CDTF">2026-06-11T14:51:00Z</dcterms:modified>
</cp:coreProperties>
</file>