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E04E" w14:textId="77777777" w:rsidR="00D715DB" w:rsidRPr="002D6A0F" w:rsidRDefault="00D715DB" w:rsidP="00BE7D40">
      <w:pPr>
        <w:jc w:val="center"/>
        <w:rPr>
          <w:rFonts w:ascii="Arial" w:eastAsia="Times New Roman" w:hAnsi="Arial" w:cs="Arial"/>
          <w:b/>
          <w:bCs/>
          <w:color w:val="000000"/>
        </w:rPr>
      </w:pPr>
      <w:bookmarkStart w:id="0" w:name="_Hlk100827596"/>
    </w:p>
    <w:bookmarkEnd w:id="0"/>
    <w:p w14:paraId="1DED568E" w14:textId="77777777" w:rsidR="00460F9D" w:rsidRDefault="00460F9D" w:rsidP="00460F9D">
      <w:pPr>
        <w:jc w:val="center"/>
        <w:rPr>
          <w:rFonts w:ascii="Arial" w:eastAsia="Times New Roman" w:hAnsi="Arial" w:cs="Arial"/>
          <w:b/>
          <w:bCs/>
          <w:color w:val="000000"/>
          <w:u w:val="single"/>
        </w:rPr>
      </w:pPr>
      <w:r w:rsidRPr="00460F9D">
        <w:rPr>
          <w:rFonts w:ascii="Arial" w:eastAsia="Times New Roman" w:hAnsi="Arial" w:cs="Arial"/>
          <w:b/>
          <w:bCs/>
          <w:color w:val="000000"/>
          <w:u w:val="single"/>
        </w:rPr>
        <w:t>Comunicato stampa</w:t>
      </w:r>
    </w:p>
    <w:p w14:paraId="3086C9B1" w14:textId="77777777" w:rsidR="00460F9D" w:rsidRPr="00460F9D" w:rsidRDefault="00460F9D" w:rsidP="00460F9D">
      <w:pPr>
        <w:jc w:val="center"/>
        <w:rPr>
          <w:rFonts w:ascii="Arial" w:eastAsia="Times New Roman" w:hAnsi="Arial" w:cs="Arial"/>
          <w:b/>
          <w:bCs/>
          <w:color w:val="000000"/>
          <w:u w:val="single"/>
        </w:rPr>
      </w:pPr>
    </w:p>
    <w:p w14:paraId="351E353E" w14:textId="77777777" w:rsidR="00460F9D" w:rsidRDefault="00460F9D" w:rsidP="00460F9D">
      <w:pPr>
        <w:jc w:val="center"/>
        <w:rPr>
          <w:rFonts w:ascii="Arial" w:eastAsia="Times New Roman" w:hAnsi="Arial" w:cs="Arial"/>
          <w:b/>
          <w:bCs/>
          <w:color w:val="000000"/>
        </w:rPr>
      </w:pPr>
      <w:r w:rsidRPr="00460F9D">
        <w:rPr>
          <w:rFonts w:ascii="Arial" w:eastAsia="Times New Roman" w:hAnsi="Arial" w:cs="Arial"/>
          <w:b/>
          <w:bCs/>
          <w:color w:val="000000"/>
        </w:rPr>
        <w:t>ENTI TERZO SETTORE, DAI COMMERCIALISTI LA RELAZIONE DELL’ORGANO DI CONTROLLO SUL BILANCIO D’ESERCIZIO</w:t>
      </w:r>
    </w:p>
    <w:p w14:paraId="5F18FE74" w14:textId="77777777" w:rsidR="00460F9D" w:rsidRPr="00460F9D" w:rsidRDefault="00460F9D" w:rsidP="00460F9D">
      <w:pPr>
        <w:jc w:val="center"/>
        <w:rPr>
          <w:rFonts w:ascii="Arial" w:eastAsia="Times New Roman" w:hAnsi="Arial" w:cs="Arial"/>
          <w:b/>
          <w:bCs/>
          <w:color w:val="000000"/>
        </w:rPr>
      </w:pPr>
    </w:p>
    <w:p w14:paraId="62ED5314" w14:textId="148ACF89" w:rsidR="00460F9D" w:rsidRPr="00460F9D" w:rsidRDefault="00460F9D" w:rsidP="00460F9D">
      <w:pPr>
        <w:jc w:val="center"/>
        <w:rPr>
          <w:rFonts w:ascii="Arial" w:eastAsia="Times New Roman" w:hAnsi="Arial" w:cs="Arial"/>
          <w:b/>
          <w:bCs/>
          <w:color w:val="000000"/>
        </w:rPr>
      </w:pPr>
      <w:r w:rsidRPr="00460F9D">
        <w:rPr>
          <w:rFonts w:ascii="Arial" w:eastAsia="Times New Roman" w:hAnsi="Arial" w:cs="Arial"/>
          <w:b/>
          <w:bCs/>
          <w:color w:val="000000"/>
        </w:rPr>
        <w:t>Il Consiglio nazionale della categoria aggiorna precedenti edizioni del documento.</w:t>
      </w:r>
      <w:r>
        <w:rPr>
          <w:rFonts w:ascii="Arial" w:eastAsia="Times New Roman" w:hAnsi="Arial" w:cs="Arial"/>
          <w:b/>
          <w:bCs/>
          <w:color w:val="000000"/>
        </w:rPr>
        <w:t xml:space="preserve"> </w:t>
      </w:r>
      <w:r w:rsidRPr="00460F9D">
        <w:rPr>
          <w:rFonts w:ascii="Arial" w:eastAsia="Times New Roman" w:hAnsi="Arial" w:cs="Arial"/>
          <w:b/>
          <w:bCs/>
          <w:color w:val="000000"/>
        </w:rPr>
        <w:t>La pubblicazione contiene anche la relazione di monitoraggio e l’attestazione di conformità del bilancio con le linee guida del decreto del Ministero del lavoro e delle politiche sociali</w:t>
      </w:r>
    </w:p>
    <w:p w14:paraId="4A515301" w14:textId="77777777" w:rsidR="00460F9D" w:rsidRPr="00460F9D" w:rsidRDefault="00460F9D" w:rsidP="00460F9D">
      <w:pPr>
        <w:jc w:val="center"/>
        <w:rPr>
          <w:rFonts w:ascii="Arial" w:eastAsia="Times New Roman" w:hAnsi="Arial" w:cs="Arial"/>
          <w:b/>
          <w:bCs/>
          <w:color w:val="000000"/>
          <w:u w:val="single"/>
        </w:rPr>
      </w:pPr>
    </w:p>
    <w:p w14:paraId="45991203" w14:textId="77777777" w:rsidR="00460F9D" w:rsidRDefault="00460F9D" w:rsidP="00460F9D">
      <w:pPr>
        <w:jc w:val="both"/>
        <w:rPr>
          <w:rFonts w:ascii="Arial" w:eastAsia="Times New Roman" w:hAnsi="Arial" w:cs="Arial"/>
          <w:color w:val="000000"/>
        </w:rPr>
      </w:pPr>
      <w:r w:rsidRPr="00460F9D">
        <w:rPr>
          <w:rFonts w:ascii="Arial" w:eastAsia="Times New Roman" w:hAnsi="Arial" w:cs="Arial"/>
          <w:i/>
          <w:iCs/>
          <w:color w:val="000000"/>
        </w:rPr>
        <w:t>Roma, 5 maggio 2026</w:t>
      </w:r>
      <w:r w:rsidRPr="00460F9D">
        <w:rPr>
          <w:rFonts w:ascii="Arial" w:eastAsia="Times New Roman" w:hAnsi="Arial" w:cs="Arial"/>
          <w:color w:val="000000"/>
        </w:rPr>
        <w:t xml:space="preserve"> - Il Consiglio Nazionale dei Dottori Commercialisti e degli Esperti Contabili (CNDCEC) ha pubblicato anche quest’anno un aggiornamento della relazione dell’organo di controllo degli enti del Terzo settore (ETS) sul bilancio di esercizio. La relazione trova come destinatari di riferimento gli associati e i componenti di altro organo equivalente delle fondazioni, anche se poi è rivolta, nei fatti, a tutti gli stakeholder che intendono comprendere se l’attività dell’ETS può essere legittimata dal punto di vista comportamentale e se, quindi, l’ente risulta credibile agli occhi anche delle istituzioni e dell’opinione pubblica.</w:t>
      </w:r>
    </w:p>
    <w:p w14:paraId="746379E8" w14:textId="77777777" w:rsidR="00460F9D" w:rsidRPr="00460F9D" w:rsidRDefault="00460F9D" w:rsidP="00460F9D">
      <w:pPr>
        <w:jc w:val="both"/>
        <w:rPr>
          <w:rFonts w:ascii="Arial" w:eastAsia="Times New Roman" w:hAnsi="Arial" w:cs="Arial"/>
          <w:color w:val="000000"/>
        </w:rPr>
      </w:pPr>
    </w:p>
    <w:p w14:paraId="1C54DE93" w14:textId="77777777" w:rsidR="00460F9D" w:rsidRDefault="00460F9D" w:rsidP="00460F9D">
      <w:pPr>
        <w:jc w:val="both"/>
        <w:rPr>
          <w:rFonts w:ascii="Arial" w:eastAsia="Times New Roman" w:hAnsi="Arial" w:cs="Arial"/>
          <w:color w:val="000000"/>
        </w:rPr>
      </w:pPr>
      <w:r w:rsidRPr="00460F9D">
        <w:rPr>
          <w:rFonts w:ascii="Arial" w:eastAsia="Times New Roman" w:hAnsi="Arial" w:cs="Arial"/>
          <w:color w:val="000000"/>
        </w:rPr>
        <w:t>Il documento pubblicato contiene anche la relazione di monitoraggio e l’attestazione di conformità del bilancio con le linee guida del decreto del Ministero del lavoro e delle politiche sociali del 4 luglio 2019.</w:t>
      </w:r>
    </w:p>
    <w:p w14:paraId="294BDB0A" w14:textId="77777777" w:rsidR="00460F9D" w:rsidRPr="00460F9D" w:rsidRDefault="00460F9D" w:rsidP="00460F9D">
      <w:pPr>
        <w:jc w:val="both"/>
        <w:rPr>
          <w:rFonts w:ascii="Arial" w:eastAsia="Times New Roman" w:hAnsi="Arial" w:cs="Arial"/>
          <w:color w:val="000000"/>
        </w:rPr>
      </w:pPr>
    </w:p>
    <w:p w14:paraId="7EEB6CF0" w14:textId="77777777" w:rsidR="00460F9D" w:rsidRPr="00460F9D" w:rsidRDefault="00460F9D" w:rsidP="00460F9D">
      <w:pPr>
        <w:jc w:val="both"/>
        <w:rPr>
          <w:rFonts w:ascii="Arial" w:eastAsia="Times New Roman" w:hAnsi="Arial" w:cs="Arial"/>
          <w:color w:val="000000"/>
        </w:rPr>
      </w:pPr>
      <w:r w:rsidRPr="00460F9D">
        <w:rPr>
          <w:rFonts w:ascii="Arial" w:eastAsia="Times New Roman" w:hAnsi="Arial" w:cs="Arial"/>
          <w:color w:val="000000"/>
        </w:rPr>
        <w:t xml:space="preserve">Quest’anno la pubblicazione del CNDCEC è stata arricchita dalle relazioni al bilancio sociale delle imprese sociali, tenendo in considerazione le pertinenti disposizioni del </w:t>
      </w:r>
      <w:proofErr w:type="spellStart"/>
      <w:r w:rsidRPr="00460F9D">
        <w:rPr>
          <w:rFonts w:ascii="Arial" w:eastAsia="Times New Roman" w:hAnsi="Arial" w:cs="Arial"/>
          <w:color w:val="000000"/>
        </w:rPr>
        <w:t>d.lgs</w:t>
      </w:r>
      <w:proofErr w:type="spellEnd"/>
      <w:r w:rsidRPr="00460F9D">
        <w:rPr>
          <w:rFonts w:ascii="Arial" w:eastAsia="Times New Roman" w:hAnsi="Arial" w:cs="Arial"/>
          <w:color w:val="000000"/>
        </w:rPr>
        <w:t xml:space="preserve"> n. 112 del 3 luglio 2017 e del </w:t>
      </w:r>
      <w:proofErr w:type="gramStart"/>
      <w:r w:rsidRPr="00460F9D">
        <w:rPr>
          <w:rFonts w:ascii="Arial" w:eastAsia="Times New Roman" w:hAnsi="Arial" w:cs="Arial"/>
          <w:color w:val="000000"/>
        </w:rPr>
        <w:t>predetto</w:t>
      </w:r>
      <w:proofErr w:type="gramEnd"/>
      <w:r w:rsidRPr="00460F9D">
        <w:rPr>
          <w:rFonts w:ascii="Arial" w:eastAsia="Times New Roman" w:hAnsi="Arial" w:cs="Arial"/>
          <w:color w:val="000000"/>
        </w:rPr>
        <w:t xml:space="preserve"> decreto. Gli schemi erano già stati inclusi nella pubblicazione della Fondazione Nazionale dei Commercialisti Ricerca “L’impresa sociale non cooperative sociale”, presentata al Congresso nazionale del CNDCEC dell’ottobre 2025. Al riguardo, si deve rilevare che non è stata prodotta alcuna relazione sul bilancio d’esercizio delle imprese sociali in quanto tale relazione deve essere articolata sulla base della forma giuridica di riferimento che può variare dalle società di capitali o di persone sino agli enti non lucrativi retti in forma associativa o fondativa. Nello specifico, i sindaci delle imprese sociali potranno opportunamente adattare gli schemi di relazione già prodotti da questo Consiglio per le società di capitali non quotate.</w:t>
      </w:r>
    </w:p>
    <w:p w14:paraId="01877847" w14:textId="21F70E53" w:rsidR="00A1599B" w:rsidRPr="00C54654" w:rsidRDefault="00A1599B" w:rsidP="00460F9D">
      <w:pPr>
        <w:jc w:val="center"/>
        <w:rPr>
          <w:rFonts w:ascii="Arial" w:hAnsi="Arial" w:cs="Arial"/>
          <w:color w:val="262626" w:themeColor="text1" w:themeTint="D9"/>
        </w:rPr>
      </w:pPr>
    </w:p>
    <w:sectPr w:rsidR="00A1599B" w:rsidRPr="00C54654">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26FB2" w14:textId="77777777" w:rsidR="001652C1" w:rsidRDefault="001652C1" w:rsidP="00A57D38">
      <w:r>
        <w:separator/>
      </w:r>
    </w:p>
  </w:endnote>
  <w:endnote w:type="continuationSeparator" w:id="0">
    <w:p w14:paraId="7BA0ADB6" w14:textId="77777777" w:rsidR="001652C1" w:rsidRDefault="001652C1" w:rsidP="00A5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Corpo C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AD76" w14:textId="77777777" w:rsidR="001652C1" w:rsidRDefault="001652C1" w:rsidP="00A57D38">
      <w:r>
        <w:separator/>
      </w:r>
    </w:p>
  </w:footnote>
  <w:footnote w:type="continuationSeparator" w:id="0">
    <w:p w14:paraId="07DE7F2F" w14:textId="77777777" w:rsidR="001652C1" w:rsidRDefault="001652C1" w:rsidP="00A57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10A1" w14:textId="54DE1EA9" w:rsidR="00A57D38" w:rsidRDefault="00A57D38" w:rsidP="00A57D38">
    <w:pPr>
      <w:pStyle w:val="Intestazione"/>
      <w:jc w:val="center"/>
    </w:pPr>
    <w:r w:rsidRPr="00F6138D">
      <w:rPr>
        <w:noProof/>
        <w:lang w:eastAsia="it-IT"/>
      </w:rPr>
      <w:drawing>
        <wp:inline distT="0" distB="0" distL="0" distR="0" wp14:anchorId="45169683" wp14:editId="3070078B">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8E96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16C4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792339"/>
    <w:multiLevelType w:val="hybridMultilevel"/>
    <w:tmpl w:val="84D8D5A0"/>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FA96C90"/>
    <w:multiLevelType w:val="multilevel"/>
    <w:tmpl w:val="9B3CE182"/>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eastAsiaTheme="majorEastAsia" w:cstheme="majorBidi" w:hint="default"/>
        <w:b/>
        <w:color w:val="C00000"/>
        <w:sz w:val="28"/>
      </w:rPr>
    </w:lvl>
    <w:lvl w:ilvl="2">
      <w:start w:val="1"/>
      <w:numFmt w:val="decimal"/>
      <w:isLgl/>
      <w:lvlText w:val="%1.%2.%3."/>
      <w:lvlJc w:val="left"/>
      <w:pPr>
        <w:ind w:left="1080" w:hanging="720"/>
      </w:pPr>
      <w:rPr>
        <w:rFonts w:eastAsiaTheme="majorEastAsia" w:cstheme="majorBidi" w:hint="default"/>
        <w:b/>
        <w:color w:val="C00000"/>
        <w:sz w:val="28"/>
      </w:rPr>
    </w:lvl>
    <w:lvl w:ilvl="3">
      <w:start w:val="1"/>
      <w:numFmt w:val="decimal"/>
      <w:isLgl/>
      <w:lvlText w:val="%1.%2.%3.%4."/>
      <w:lvlJc w:val="left"/>
      <w:pPr>
        <w:ind w:left="1080" w:hanging="720"/>
      </w:pPr>
      <w:rPr>
        <w:rFonts w:eastAsiaTheme="majorEastAsia" w:cstheme="majorBidi" w:hint="default"/>
        <w:b/>
        <w:color w:val="C00000"/>
        <w:sz w:val="28"/>
      </w:rPr>
    </w:lvl>
    <w:lvl w:ilvl="4">
      <w:start w:val="1"/>
      <w:numFmt w:val="decimal"/>
      <w:isLgl/>
      <w:lvlText w:val="%1.%2.%3.%4.%5."/>
      <w:lvlJc w:val="left"/>
      <w:pPr>
        <w:ind w:left="1440" w:hanging="1080"/>
      </w:pPr>
      <w:rPr>
        <w:rFonts w:eastAsiaTheme="majorEastAsia" w:cstheme="majorBidi" w:hint="default"/>
        <w:b/>
        <w:color w:val="C00000"/>
        <w:sz w:val="28"/>
      </w:rPr>
    </w:lvl>
    <w:lvl w:ilvl="5">
      <w:start w:val="1"/>
      <w:numFmt w:val="decimal"/>
      <w:isLgl/>
      <w:lvlText w:val="%1.%2.%3.%4.%5.%6."/>
      <w:lvlJc w:val="left"/>
      <w:pPr>
        <w:ind w:left="1440" w:hanging="1080"/>
      </w:pPr>
      <w:rPr>
        <w:rFonts w:eastAsiaTheme="majorEastAsia" w:cstheme="majorBidi" w:hint="default"/>
        <w:b/>
        <w:color w:val="C00000"/>
        <w:sz w:val="28"/>
      </w:rPr>
    </w:lvl>
    <w:lvl w:ilvl="6">
      <w:start w:val="1"/>
      <w:numFmt w:val="decimal"/>
      <w:isLgl/>
      <w:lvlText w:val="%1.%2.%3.%4.%5.%6.%7."/>
      <w:lvlJc w:val="left"/>
      <w:pPr>
        <w:ind w:left="1800" w:hanging="1440"/>
      </w:pPr>
      <w:rPr>
        <w:rFonts w:eastAsiaTheme="majorEastAsia" w:cstheme="majorBidi" w:hint="default"/>
        <w:b/>
        <w:color w:val="C00000"/>
        <w:sz w:val="28"/>
      </w:rPr>
    </w:lvl>
    <w:lvl w:ilvl="7">
      <w:start w:val="1"/>
      <w:numFmt w:val="decimal"/>
      <w:isLgl/>
      <w:lvlText w:val="%1.%2.%3.%4.%5.%6.%7.%8."/>
      <w:lvlJc w:val="left"/>
      <w:pPr>
        <w:ind w:left="1800" w:hanging="1440"/>
      </w:pPr>
      <w:rPr>
        <w:rFonts w:eastAsiaTheme="majorEastAsia" w:cstheme="majorBidi" w:hint="default"/>
        <w:b/>
        <w:color w:val="C00000"/>
        <w:sz w:val="28"/>
      </w:rPr>
    </w:lvl>
    <w:lvl w:ilvl="8">
      <w:start w:val="1"/>
      <w:numFmt w:val="decimal"/>
      <w:isLgl/>
      <w:lvlText w:val="%1.%2.%3.%4.%5.%6.%7.%8.%9."/>
      <w:lvlJc w:val="left"/>
      <w:pPr>
        <w:ind w:left="2160" w:hanging="1800"/>
      </w:pPr>
      <w:rPr>
        <w:rFonts w:eastAsiaTheme="majorEastAsia" w:cstheme="majorBidi" w:hint="default"/>
        <w:b/>
        <w:color w:val="C00000"/>
        <w:sz w:val="28"/>
      </w:rPr>
    </w:lvl>
  </w:abstractNum>
  <w:abstractNum w:abstractNumId="4" w15:restartNumberingAfterBreak="0">
    <w:nsid w:val="470004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53922285">
    <w:abstractNumId w:val="1"/>
  </w:num>
  <w:num w:numId="2" w16cid:durableId="47654393">
    <w:abstractNumId w:val="4"/>
  </w:num>
  <w:num w:numId="3" w16cid:durableId="149905896">
    <w:abstractNumId w:val="0"/>
  </w:num>
  <w:num w:numId="4" w16cid:durableId="166792410">
    <w:abstractNumId w:val="2"/>
  </w:num>
  <w:num w:numId="5" w16cid:durableId="788939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20"/>
    <w:rsid w:val="000130DF"/>
    <w:rsid w:val="00030943"/>
    <w:rsid w:val="00045777"/>
    <w:rsid w:val="000545A9"/>
    <w:rsid w:val="00062DEE"/>
    <w:rsid w:val="00075062"/>
    <w:rsid w:val="000826A4"/>
    <w:rsid w:val="00097922"/>
    <w:rsid w:val="000B02CC"/>
    <w:rsid w:val="000D5879"/>
    <w:rsid w:val="000F7086"/>
    <w:rsid w:val="001037EB"/>
    <w:rsid w:val="00105846"/>
    <w:rsid w:val="00135FBD"/>
    <w:rsid w:val="00143655"/>
    <w:rsid w:val="001652C1"/>
    <w:rsid w:val="00172740"/>
    <w:rsid w:val="00183498"/>
    <w:rsid w:val="00190E59"/>
    <w:rsid w:val="001972E0"/>
    <w:rsid w:val="001A7939"/>
    <w:rsid w:val="001B1AFB"/>
    <w:rsid w:val="001C5FD9"/>
    <w:rsid w:val="001D4003"/>
    <w:rsid w:val="001D790F"/>
    <w:rsid w:val="001E4D7A"/>
    <w:rsid w:val="00227893"/>
    <w:rsid w:val="00234E76"/>
    <w:rsid w:val="0024138A"/>
    <w:rsid w:val="00250119"/>
    <w:rsid w:val="002B1079"/>
    <w:rsid w:val="002B12B2"/>
    <w:rsid w:val="002D511F"/>
    <w:rsid w:val="002D6A0F"/>
    <w:rsid w:val="00300C69"/>
    <w:rsid w:val="00301866"/>
    <w:rsid w:val="00305BA0"/>
    <w:rsid w:val="003069D2"/>
    <w:rsid w:val="00322115"/>
    <w:rsid w:val="0032342A"/>
    <w:rsid w:val="00333404"/>
    <w:rsid w:val="00334C03"/>
    <w:rsid w:val="00340860"/>
    <w:rsid w:val="003507F7"/>
    <w:rsid w:val="0036302D"/>
    <w:rsid w:val="0036328A"/>
    <w:rsid w:val="00364335"/>
    <w:rsid w:val="003739DF"/>
    <w:rsid w:val="003A4F3F"/>
    <w:rsid w:val="003A5278"/>
    <w:rsid w:val="003B5C48"/>
    <w:rsid w:val="003B5D81"/>
    <w:rsid w:val="003B6B20"/>
    <w:rsid w:val="003B7039"/>
    <w:rsid w:val="003C5158"/>
    <w:rsid w:val="003C66EF"/>
    <w:rsid w:val="003C6E20"/>
    <w:rsid w:val="003D03AB"/>
    <w:rsid w:val="003F5D99"/>
    <w:rsid w:val="00417F1A"/>
    <w:rsid w:val="004358CF"/>
    <w:rsid w:val="004415FD"/>
    <w:rsid w:val="00444E0D"/>
    <w:rsid w:val="00460F9D"/>
    <w:rsid w:val="004743EC"/>
    <w:rsid w:val="00474973"/>
    <w:rsid w:val="004A3FCB"/>
    <w:rsid w:val="004A68CB"/>
    <w:rsid w:val="004B773B"/>
    <w:rsid w:val="004D3C42"/>
    <w:rsid w:val="004D68FF"/>
    <w:rsid w:val="004E2BA6"/>
    <w:rsid w:val="005051A3"/>
    <w:rsid w:val="00522640"/>
    <w:rsid w:val="005252E4"/>
    <w:rsid w:val="005315AC"/>
    <w:rsid w:val="00531A6D"/>
    <w:rsid w:val="00532E2E"/>
    <w:rsid w:val="005416BD"/>
    <w:rsid w:val="00543A7A"/>
    <w:rsid w:val="0056307D"/>
    <w:rsid w:val="00566381"/>
    <w:rsid w:val="0059245B"/>
    <w:rsid w:val="00592D37"/>
    <w:rsid w:val="005B33D7"/>
    <w:rsid w:val="005B48CD"/>
    <w:rsid w:val="005C0771"/>
    <w:rsid w:val="005D5341"/>
    <w:rsid w:val="005D5A71"/>
    <w:rsid w:val="005F0794"/>
    <w:rsid w:val="00600B5B"/>
    <w:rsid w:val="00607179"/>
    <w:rsid w:val="00617B63"/>
    <w:rsid w:val="00620A18"/>
    <w:rsid w:val="00620DFD"/>
    <w:rsid w:val="0065709F"/>
    <w:rsid w:val="00664CC2"/>
    <w:rsid w:val="00672201"/>
    <w:rsid w:val="00677E20"/>
    <w:rsid w:val="00683886"/>
    <w:rsid w:val="0068490D"/>
    <w:rsid w:val="006A7BC4"/>
    <w:rsid w:val="006C2AEE"/>
    <w:rsid w:val="006C2B00"/>
    <w:rsid w:val="006D1C2D"/>
    <w:rsid w:val="00700600"/>
    <w:rsid w:val="00711014"/>
    <w:rsid w:val="00713B6B"/>
    <w:rsid w:val="007157AE"/>
    <w:rsid w:val="00727620"/>
    <w:rsid w:val="00734297"/>
    <w:rsid w:val="007344D6"/>
    <w:rsid w:val="007353D2"/>
    <w:rsid w:val="00736E35"/>
    <w:rsid w:val="00737D15"/>
    <w:rsid w:val="0074402B"/>
    <w:rsid w:val="007A2BE9"/>
    <w:rsid w:val="007B3846"/>
    <w:rsid w:val="007D2A62"/>
    <w:rsid w:val="007D4B15"/>
    <w:rsid w:val="007D6512"/>
    <w:rsid w:val="007D75E7"/>
    <w:rsid w:val="007E2E1A"/>
    <w:rsid w:val="008019E4"/>
    <w:rsid w:val="0080350A"/>
    <w:rsid w:val="00815597"/>
    <w:rsid w:val="00816ABC"/>
    <w:rsid w:val="00830EF3"/>
    <w:rsid w:val="00832D52"/>
    <w:rsid w:val="00846900"/>
    <w:rsid w:val="008650D5"/>
    <w:rsid w:val="008716CB"/>
    <w:rsid w:val="008A1C52"/>
    <w:rsid w:val="008C4FA7"/>
    <w:rsid w:val="008C5196"/>
    <w:rsid w:val="008D603E"/>
    <w:rsid w:val="00901225"/>
    <w:rsid w:val="0091579F"/>
    <w:rsid w:val="00916042"/>
    <w:rsid w:val="00933F3A"/>
    <w:rsid w:val="00942931"/>
    <w:rsid w:val="009531F7"/>
    <w:rsid w:val="00987E6C"/>
    <w:rsid w:val="009A7F25"/>
    <w:rsid w:val="009B2452"/>
    <w:rsid w:val="009B3602"/>
    <w:rsid w:val="009B5326"/>
    <w:rsid w:val="009C2ED2"/>
    <w:rsid w:val="009C51CB"/>
    <w:rsid w:val="009D18F4"/>
    <w:rsid w:val="009D30A8"/>
    <w:rsid w:val="009D3ADB"/>
    <w:rsid w:val="009D6102"/>
    <w:rsid w:val="009E1E87"/>
    <w:rsid w:val="00A06E00"/>
    <w:rsid w:val="00A1045D"/>
    <w:rsid w:val="00A1160C"/>
    <w:rsid w:val="00A1599B"/>
    <w:rsid w:val="00A2019D"/>
    <w:rsid w:val="00A4072E"/>
    <w:rsid w:val="00A520EC"/>
    <w:rsid w:val="00A5592D"/>
    <w:rsid w:val="00A57D38"/>
    <w:rsid w:val="00A70B1B"/>
    <w:rsid w:val="00A714E6"/>
    <w:rsid w:val="00A72CF6"/>
    <w:rsid w:val="00AA3833"/>
    <w:rsid w:val="00AB1D99"/>
    <w:rsid w:val="00AC080F"/>
    <w:rsid w:val="00AC2390"/>
    <w:rsid w:val="00AF70DF"/>
    <w:rsid w:val="00AF759B"/>
    <w:rsid w:val="00B0182E"/>
    <w:rsid w:val="00B071DC"/>
    <w:rsid w:val="00B14C8A"/>
    <w:rsid w:val="00B30E54"/>
    <w:rsid w:val="00B3158D"/>
    <w:rsid w:val="00B33601"/>
    <w:rsid w:val="00B51AF3"/>
    <w:rsid w:val="00B55508"/>
    <w:rsid w:val="00B619BC"/>
    <w:rsid w:val="00B92CAA"/>
    <w:rsid w:val="00BA4036"/>
    <w:rsid w:val="00BC5E0A"/>
    <w:rsid w:val="00BD28A3"/>
    <w:rsid w:val="00BD5638"/>
    <w:rsid w:val="00BD5BF3"/>
    <w:rsid w:val="00BE4889"/>
    <w:rsid w:val="00BE7D40"/>
    <w:rsid w:val="00BF587A"/>
    <w:rsid w:val="00C01BD2"/>
    <w:rsid w:val="00C33BF2"/>
    <w:rsid w:val="00C33EDC"/>
    <w:rsid w:val="00C442BB"/>
    <w:rsid w:val="00C54654"/>
    <w:rsid w:val="00C61F00"/>
    <w:rsid w:val="00C66826"/>
    <w:rsid w:val="00C7553E"/>
    <w:rsid w:val="00C842DF"/>
    <w:rsid w:val="00C9654A"/>
    <w:rsid w:val="00C97980"/>
    <w:rsid w:val="00CB7284"/>
    <w:rsid w:val="00CC019A"/>
    <w:rsid w:val="00CC633C"/>
    <w:rsid w:val="00CE4415"/>
    <w:rsid w:val="00D44529"/>
    <w:rsid w:val="00D4602D"/>
    <w:rsid w:val="00D548C8"/>
    <w:rsid w:val="00D715DB"/>
    <w:rsid w:val="00D934AF"/>
    <w:rsid w:val="00DB2438"/>
    <w:rsid w:val="00DB39BA"/>
    <w:rsid w:val="00DB59E2"/>
    <w:rsid w:val="00DD4BC0"/>
    <w:rsid w:val="00DE44CE"/>
    <w:rsid w:val="00DF605A"/>
    <w:rsid w:val="00E0184B"/>
    <w:rsid w:val="00E073A8"/>
    <w:rsid w:val="00E10210"/>
    <w:rsid w:val="00E14B67"/>
    <w:rsid w:val="00E23CAA"/>
    <w:rsid w:val="00E240F1"/>
    <w:rsid w:val="00E31148"/>
    <w:rsid w:val="00E63BA8"/>
    <w:rsid w:val="00E6449D"/>
    <w:rsid w:val="00E67397"/>
    <w:rsid w:val="00E72EA7"/>
    <w:rsid w:val="00E7604E"/>
    <w:rsid w:val="00E924B5"/>
    <w:rsid w:val="00EA565A"/>
    <w:rsid w:val="00EB3D57"/>
    <w:rsid w:val="00EC5830"/>
    <w:rsid w:val="00ED3141"/>
    <w:rsid w:val="00ED7DD3"/>
    <w:rsid w:val="00ED7FAF"/>
    <w:rsid w:val="00EF56BE"/>
    <w:rsid w:val="00EF7520"/>
    <w:rsid w:val="00F07F46"/>
    <w:rsid w:val="00F10465"/>
    <w:rsid w:val="00F1389A"/>
    <w:rsid w:val="00F16101"/>
    <w:rsid w:val="00F27538"/>
    <w:rsid w:val="00F36B16"/>
    <w:rsid w:val="00F51729"/>
    <w:rsid w:val="00F619BB"/>
    <w:rsid w:val="00F67C19"/>
    <w:rsid w:val="00F75D1F"/>
    <w:rsid w:val="00F863C7"/>
    <w:rsid w:val="00FB0AA0"/>
    <w:rsid w:val="00FB75D5"/>
    <w:rsid w:val="00FD3A3D"/>
    <w:rsid w:val="00FD6192"/>
    <w:rsid w:val="00FE5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A505"/>
  <w15:chartTrackingRefBased/>
  <w15:docId w15:val="{918E96B5-BADA-42AC-8590-38402975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0DFD"/>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3B6B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3B6B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9"/>
    <w:unhideWhenUsed/>
    <w:qFormat/>
    <w:rsid w:val="003B6B2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3B6B2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3B6B2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3B6B2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3B6B2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3B6B2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3B6B2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6B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6B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9"/>
    <w:rsid w:val="003B6B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6B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6B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6B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6B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6B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6B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6B2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3B6B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6B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3B6B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6B20"/>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3B6B20"/>
    <w:rPr>
      <w:i/>
      <w:iCs/>
      <w:color w:val="404040" w:themeColor="text1" w:themeTint="BF"/>
    </w:rPr>
  </w:style>
  <w:style w:type="paragraph" w:styleId="Paragrafoelenco">
    <w:name w:val="List Paragraph"/>
    <w:basedOn w:val="Normale"/>
    <w:uiPriority w:val="34"/>
    <w:qFormat/>
    <w:rsid w:val="003B6B20"/>
    <w:pPr>
      <w:spacing w:after="160" w:line="278" w:lineRule="auto"/>
      <w:ind w:left="720"/>
      <w:contextualSpacing/>
    </w:pPr>
    <w:rPr>
      <w:rFonts w:ascii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3B6B20"/>
    <w:rPr>
      <w:i/>
      <w:iCs/>
      <w:color w:val="0F4761" w:themeColor="accent1" w:themeShade="BF"/>
    </w:rPr>
  </w:style>
  <w:style w:type="paragraph" w:styleId="Citazioneintensa">
    <w:name w:val="Intense Quote"/>
    <w:basedOn w:val="Normale"/>
    <w:next w:val="Normale"/>
    <w:link w:val="CitazioneintensaCarattere"/>
    <w:uiPriority w:val="30"/>
    <w:qFormat/>
    <w:rsid w:val="003B6B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3B6B20"/>
    <w:rPr>
      <w:i/>
      <w:iCs/>
      <w:color w:val="0F4761" w:themeColor="accent1" w:themeShade="BF"/>
    </w:rPr>
  </w:style>
  <w:style w:type="character" w:styleId="Riferimentointenso">
    <w:name w:val="Intense Reference"/>
    <w:basedOn w:val="Carpredefinitoparagrafo"/>
    <w:uiPriority w:val="32"/>
    <w:qFormat/>
    <w:rsid w:val="003B6B20"/>
    <w:rPr>
      <w:b/>
      <w:bCs/>
      <w:smallCaps/>
      <w:color w:val="0F4761" w:themeColor="accent1" w:themeShade="BF"/>
      <w:spacing w:val="5"/>
    </w:rPr>
  </w:style>
  <w:style w:type="paragraph" w:customStyle="1" w:styleId="atext">
    <w:name w:val="atext"/>
    <w:basedOn w:val="Normale"/>
    <w:rsid w:val="003B6B20"/>
    <w:pPr>
      <w:spacing w:before="100" w:beforeAutospacing="1" w:after="100" w:afterAutospacing="1"/>
    </w:pPr>
    <w:rPr>
      <w:rFonts w:ascii="Times New Roman" w:eastAsia="Times New Roman" w:hAnsi="Times New Roman" w:cs="Times New Roman"/>
    </w:rPr>
  </w:style>
  <w:style w:type="paragraph" w:styleId="Intestazione">
    <w:name w:val="header"/>
    <w:basedOn w:val="Normale"/>
    <w:link w:val="IntestazioneCarattere"/>
    <w:uiPriority w:val="99"/>
    <w:unhideWhenUsed/>
    <w:rsid w:val="00A57D38"/>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A57D38"/>
  </w:style>
  <w:style w:type="paragraph" w:styleId="Pidipagina">
    <w:name w:val="footer"/>
    <w:basedOn w:val="Normale"/>
    <w:link w:val="PidipaginaCarattere"/>
    <w:uiPriority w:val="99"/>
    <w:unhideWhenUsed/>
    <w:rsid w:val="00A57D38"/>
    <w:pPr>
      <w:tabs>
        <w:tab w:val="center" w:pos="4819"/>
        <w:tab w:val="right" w:pos="9638"/>
      </w:tabs>
    </w:pPr>
  </w:style>
  <w:style w:type="character" w:customStyle="1" w:styleId="PidipaginaCarattere">
    <w:name w:val="Piè di pagina Carattere"/>
    <w:basedOn w:val="Carpredefinitoparagrafo"/>
    <w:link w:val="Pidipagina"/>
    <w:uiPriority w:val="99"/>
    <w:rsid w:val="00A57D38"/>
  </w:style>
  <w:style w:type="paragraph" w:styleId="NormaleWeb">
    <w:name w:val="Normal (Web)"/>
    <w:basedOn w:val="Normale"/>
    <w:uiPriority w:val="99"/>
    <w:unhideWhenUsed/>
    <w:rsid w:val="00CE4415"/>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CE4415"/>
    <w:rPr>
      <w:b/>
      <w:bCs/>
    </w:rPr>
  </w:style>
  <w:style w:type="character" w:styleId="Collegamentoipertestuale">
    <w:name w:val="Hyperlink"/>
    <w:basedOn w:val="Carpredefinitoparagrafo"/>
    <w:uiPriority w:val="99"/>
    <w:unhideWhenUsed/>
    <w:rsid w:val="006C2AEE"/>
    <w:rPr>
      <w:color w:val="0000FF"/>
      <w:u w:val="single"/>
    </w:rPr>
  </w:style>
  <w:style w:type="paragraph" w:styleId="Revisione">
    <w:name w:val="Revision"/>
    <w:hidden/>
    <w:uiPriority w:val="99"/>
    <w:semiHidden/>
    <w:rsid w:val="00A1045D"/>
    <w:pPr>
      <w:spacing w:after="0" w:line="240" w:lineRule="auto"/>
    </w:pPr>
  </w:style>
  <w:style w:type="character" w:styleId="Menzionenonrisolta">
    <w:name w:val="Unresolved Mention"/>
    <w:basedOn w:val="Carpredefinitoparagrafo"/>
    <w:uiPriority w:val="99"/>
    <w:semiHidden/>
    <w:unhideWhenUsed/>
    <w:rsid w:val="009B3602"/>
    <w:rPr>
      <w:color w:val="605E5C"/>
      <w:shd w:val="clear" w:color="auto" w:fill="E1DFDD"/>
    </w:rPr>
  </w:style>
  <w:style w:type="character" w:styleId="Collegamentovisitato">
    <w:name w:val="FollowedHyperlink"/>
    <w:basedOn w:val="Carpredefinitoparagrafo"/>
    <w:uiPriority w:val="99"/>
    <w:semiHidden/>
    <w:unhideWhenUsed/>
    <w:rsid w:val="009B3602"/>
    <w:rPr>
      <w:color w:val="96607D" w:themeColor="followedHyperlink"/>
      <w:u w:val="single"/>
    </w:rPr>
  </w:style>
  <w:style w:type="paragraph" w:customStyle="1" w:styleId="Corpotesto1">
    <w:name w:val="Corpo testo1"/>
    <w:basedOn w:val="Normale"/>
    <w:rsid w:val="00135FBD"/>
    <w:pPr>
      <w:spacing w:line="360" w:lineRule="auto"/>
      <w:ind w:firstLine="284"/>
      <w:jc w:val="both"/>
    </w:pPr>
    <w:rPr>
      <w:rFonts w:ascii="Times New Roman" w:eastAsia="Times New Roman" w:hAnsi="Times New Roman" w:cs="Times New Roman"/>
      <w:kern w:val="19"/>
      <w:sz w:val="22"/>
      <w:szCs w:val="20"/>
      <w:lang w:eastAsia="zh-CN"/>
    </w:rPr>
  </w:style>
  <w:style w:type="paragraph" w:styleId="Testonotaapidipagina">
    <w:name w:val="footnote text"/>
    <w:aliases w:val="Testo nota a piè di pagina Carattere Carattere Carattere Carattere Carattere Carattere Carattere Carattere Carattere Carattere,Testo nota a piè di pagina Carattere Carattere Carattere,12 pt"/>
    <w:basedOn w:val="Normale"/>
    <w:link w:val="TestonotaapidipaginaCarattere"/>
    <w:uiPriority w:val="99"/>
    <w:unhideWhenUsed/>
    <w:qFormat/>
    <w:rsid w:val="004358CF"/>
    <w:pPr>
      <w:jc w:val="both"/>
    </w:pPr>
    <w:rPr>
      <w:rFonts w:asciiTheme="minorHAnsi" w:eastAsiaTheme="minorEastAsia" w:hAnsiTheme="minorHAnsi" w:cstheme="minorBidi"/>
      <w:color w:val="595959" w:themeColor="text1" w:themeTint="A6"/>
      <w:sz w:val="20"/>
      <w:szCs w:val="20"/>
      <w:lang w:eastAsia="en-US"/>
    </w:rPr>
  </w:style>
  <w:style w:type="character" w:customStyle="1" w:styleId="TestonotaapidipaginaCarattere">
    <w:name w:val="Testo nota a piè di pagina Carattere"/>
    <w:aliases w:val="Testo nota a piè di pagina Carattere Carattere Carattere Carattere Carattere Carattere Carattere Carattere Carattere Carattere Carattere,Testo nota a piè di pagina Carattere Carattere Carattere Carattere"/>
    <w:basedOn w:val="Carpredefinitoparagrafo"/>
    <w:link w:val="Testonotaapidipagina"/>
    <w:uiPriority w:val="99"/>
    <w:rsid w:val="004358CF"/>
    <w:rPr>
      <w:rFonts w:eastAsiaTheme="minorEastAsia"/>
      <w:color w:val="595959" w:themeColor="text1" w:themeTint="A6"/>
      <w:kern w:val="0"/>
      <w:sz w:val="20"/>
      <w:szCs w:val="20"/>
      <w14:ligatures w14:val="none"/>
    </w:rPr>
  </w:style>
  <w:style w:type="character" w:styleId="Rimandonotaapidipagina">
    <w:name w:val="footnote reference"/>
    <w:aliases w:val="Rimando nota a piè di pagina 2,SUPERS,Footnote reference number,Footnote symbol,note TESI,-E Fußnotenzeichen,number,BVI fnr,Footnote,Footnote Reference Superscript,(Footnote Reference),EN Footnote Reference,Voetnootverwijzin"/>
    <w:uiPriority w:val="99"/>
    <w:unhideWhenUsed/>
    <w:qFormat/>
    <w:rsid w:val="004358CF"/>
    <w:rPr>
      <w:vertAlign w:val="superscript"/>
    </w:rPr>
  </w:style>
  <w:style w:type="paragraph" w:customStyle="1" w:styleId="Corpodel">
    <w:name w:val="Corpo del"/>
    <w:basedOn w:val="Normale"/>
    <w:uiPriority w:val="99"/>
    <w:rsid w:val="00E6449D"/>
    <w:pPr>
      <w:spacing w:after="120" w:line="260" w:lineRule="atLeast"/>
    </w:pPr>
    <w:rPr>
      <w:rFonts w:ascii="Times New Roman" w:eastAsia="Times New Roman" w:hAnsi="Times New Roman" w:cs="Times New Roman"/>
      <w:b/>
      <w:bCs/>
      <w:sz w:val="20"/>
      <w:szCs w:val="20"/>
      <w:lang w:val="en-GB"/>
    </w:rPr>
  </w:style>
  <w:style w:type="paragraph" w:customStyle="1" w:styleId="TipoDocumento">
    <w:name w:val="Tipo Documento"/>
    <w:basedOn w:val="Normale"/>
    <w:qFormat/>
    <w:rsid w:val="005B33D7"/>
    <w:pPr>
      <w:spacing w:after="200"/>
      <w:jc w:val="both"/>
    </w:pPr>
    <w:rPr>
      <w:rFonts w:asciiTheme="minorHAnsi" w:eastAsiaTheme="minorEastAsia" w:hAnsiTheme="minorHAnsi" w:cs="Times New Roman (Corpo CS)"/>
      <w:b/>
      <w:bCs/>
      <w:caps/>
      <w:color w:val="C00000"/>
      <w:spacing w:val="20"/>
      <w:sz w:val="20"/>
      <w:szCs w:val="21"/>
      <w:lang w:eastAsia="en-US"/>
    </w:rPr>
  </w:style>
  <w:style w:type="paragraph" w:customStyle="1" w:styleId="CVNormal">
    <w:name w:val="CV Normal"/>
    <w:basedOn w:val="Normale"/>
    <w:rsid w:val="003B7039"/>
    <w:pPr>
      <w:suppressAutoHyphens/>
      <w:ind w:left="113" w:right="113"/>
    </w:pPr>
    <w:rPr>
      <w:rFonts w:ascii="Arial Narrow" w:eastAsia="Times New Roman" w:hAnsi="Arial Narrow"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73412">
      <w:bodyDiv w:val="1"/>
      <w:marLeft w:val="0"/>
      <w:marRight w:val="0"/>
      <w:marTop w:val="0"/>
      <w:marBottom w:val="0"/>
      <w:divBdr>
        <w:top w:val="none" w:sz="0" w:space="0" w:color="auto"/>
        <w:left w:val="none" w:sz="0" w:space="0" w:color="auto"/>
        <w:bottom w:val="none" w:sz="0" w:space="0" w:color="auto"/>
        <w:right w:val="none" w:sz="0" w:space="0" w:color="auto"/>
      </w:divBdr>
      <w:divsChild>
        <w:div w:id="994990724">
          <w:marLeft w:val="0"/>
          <w:marRight w:val="0"/>
          <w:marTop w:val="0"/>
          <w:marBottom w:val="0"/>
          <w:divBdr>
            <w:top w:val="none" w:sz="0" w:space="0" w:color="auto"/>
            <w:left w:val="none" w:sz="0" w:space="0" w:color="auto"/>
            <w:bottom w:val="none" w:sz="0" w:space="0" w:color="auto"/>
            <w:right w:val="none" w:sz="0" w:space="0" w:color="auto"/>
          </w:divBdr>
        </w:div>
        <w:div w:id="1442527824">
          <w:marLeft w:val="0"/>
          <w:marRight w:val="0"/>
          <w:marTop w:val="0"/>
          <w:marBottom w:val="0"/>
          <w:divBdr>
            <w:top w:val="none" w:sz="0" w:space="0" w:color="auto"/>
            <w:left w:val="none" w:sz="0" w:space="0" w:color="auto"/>
            <w:bottom w:val="none" w:sz="0" w:space="0" w:color="auto"/>
            <w:right w:val="none" w:sz="0" w:space="0" w:color="auto"/>
          </w:divBdr>
          <w:divsChild>
            <w:div w:id="545066778">
              <w:marLeft w:val="0"/>
              <w:marRight w:val="0"/>
              <w:marTop w:val="0"/>
              <w:marBottom w:val="0"/>
              <w:divBdr>
                <w:top w:val="none" w:sz="0" w:space="0" w:color="auto"/>
                <w:left w:val="none" w:sz="0" w:space="0" w:color="auto"/>
                <w:bottom w:val="none" w:sz="0" w:space="0" w:color="auto"/>
                <w:right w:val="none" w:sz="0" w:space="0" w:color="auto"/>
              </w:divBdr>
              <w:divsChild>
                <w:div w:id="1521580038">
                  <w:marLeft w:val="0"/>
                  <w:marRight w:val="0"/>
                  <w:marTop w:val="0"/>
                  <w:marBottom w:val="0"/>
                  <w:divBdr>
                    <w:top w:val="none" w:sz="0" w:space="0" w:color="auto"/>
                    <w:left w:val="none" w:sz="0" w:space="0" w:color="auto"/>
                    <w:bottom w:val="none" w:sz="0" w:space="0" w:color="auto"/>
                    <w:right w:val="none" w:sz="0" w:space="0" w:color="auto"/>
                  </w:divBdr>
                  <w:divsChild>
                    <w:div w:id="91896395">
                      <w:marLeft w:val="0"/>
                      <w:marRight w:val="0"/>
                      <w:marTop w:val="0"/>
                      <w:marBottom w:val="0"/>
                      <w:divBdr>
                        <w:top w:val="none" w:sz="0" w:space="0" w:color="auto"/>
                        <w:left w:val="none" w:sz="0" w:space="0" w:color="auto"/>
                        <w:bottom w:val="none" w:sz="0" w:space="0" w:color="auto"/>
                        <w:right w:val="none" w:sz="0" w:space="0" w:color="auto"/>
                      </w:divBdr>
                      <w:divsChild>
                        <w:div w:id="356660413">
                          <w:marLeft w:val="0"/>
                          <w:marRight w:val="0"/>
                          <w:marTop w:val="0"/>
                          <w:marBottom w:val="900"/>
                          <w:divBdr>
                            <w:top w:val="none" w:sz="0" w:space="0" w:color="auto"/>
                            <w:left w:val="none" w:sz="0" w:space="0" w:color="auto"/>
                            <w:bottom w:val="none" w:sz="0" w:space="0" w:color="auto"/>
                            <w:right w:val="none" w:sz="0" w:space="0" w:color="auto"/>
                          </w:divBdr>
                        </w:div>
                        <w:div w:id="1647776232">
                          <w:marLeft w:val="0"/>
                          <w:marRight w:val="0"/>
                          <w:marTop w:val="0"/>
                          <w:marBottom w:val="0"/>
                          <w:divBdr>
                            <w:top w:val="none" w:sz="0" w:space="0" w:color="auto"/>
                            <w:left w:val="none" w:sz="0" w:space="0" w:color="auto"/>
                            <w:bottom w:val="none" w:sz="0" w:space="0" w:color="auto"/>
                            <w:right w:val="none" w:sz="0" w:space="0" w:color="auto"/>
                          </w:divBdr>
                          <w:divsChild>
                            <w:div w:id="16066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44806">
      <w:bodyDiv w:val="1"/>
      <w:marLeft w:val="0"/>
      <w:marRight w:val="0"/>
      <w:marTop w:val="0"/>
      <w:marBottom w:val="0"/>
      <w:divBdr>
        <w:top w:val="none" w:sz="0" w:space="0" w:color="auto"/>
        <w:left w:val="none" w:sz="0" w:space="0" w:color="auto"/>
        <w:bottom w:val="none" w:sz="0" w:space="0" w:color="auto"/>
        <w:right w:val="none" w:sz="0" w:space="0" w:color="auto"/>
      </w:divBdr>
    </w:div>
    <w:div w:id="1689871597">
      <w:bodyDiv w:val="1"/>
      <w:marLeft w:val="0"/>
      <w:marRight w:val="0"/>
      <w:marTop w:val="0"/>
      <w:marBottom w:val="0"/>
      <w:divBdr>
        <w:top w:val="none" w:sz="0" w:space="0" w:color="auto"/>
        <w:left w:val="none" w:sz="0" w:space="0" w:color="auto"/>
        <w:bottom w:val="none" w:sz="0" w:space="0" w:color="auto"/>
        <w:right w:val="none" w:sz="0" w:space="0" w:color="auto"/>
      </w:divBdr>
      <w:divsChild>
        <w:div w:id="766080512">
          <w:marLeft w:val="0"/>
          <w:marRight w:val="0"/>
          <w:marTop w:val="0"/>
          <w:marBottom w:val="0"/>
          <w:divBdr>
            <w:top w:val="none" w:sz="0" w:space="0" w:color="auto"/>
            <w:left w:val="none" w:sz="0" w:space="0" w:color="auto"/>
            <w:bottom w:val="none" w:sz="0" w:space="0" w:color="auto"/>
            <w:right w:val="none" w:sz="0" w:space="0" w:color="auto"/>
          </w:divBdr>
        </w:div>
        <w:div w:id="321203349">
          <w:marLeft w:val="0"/>
          <w:marRight w:val="0"/>
          <w:marTop w:val="0"/>
          <w:marBottom w:val="0"/>
          <w:divBdr>
            <w:top w:val="none" w:sz="0" w:space="0" w:color="auto"/>
            <w:left w:val="none" w:sz="0" w:space="0" w:color="auto"/>
            <w:bottom w:val="none" w:sz="0" w:space="0" w:color="auto"/>
            <w:right w:val="none" w:sz="0" w:space="0" w:color="auto"/>
          </w:divBdr>
          <w:divsChild>
            <w:div w:id="2117020862">
              <w:marLeft w:val="0"/>
              <w:marRight w:val="0"/>
              <w:marTop w:val="0"/>
              <w:marBottom w:val="0"/>
              <w:divBdr>
                <w:top w:val="none" w:sz="0" w:space="0" w:color="auto"/>
                <w:left w:val="none" w:sz="0" w:space="0" w:color="auto"/>
                <w:bottom w:val="none" w:sz="0" w:space="0" w:color="auto"/>
                <w:right w:val="none" w:sz="0" w:space="0" w:color="auto"/>
              </w:divBdr>
              <w:divsChild>
                <w:div w:id="1228564500">
                  <w:marLeft w:val="0"/>
                  <w:marRight w:val="0"/>
                  <w:marTop w:val="0"/>
                  <w:marBottom w:val="0"/>
                  <w:divBdr>
                    <w:top w:val="none" w:sz="0" w:space="0" w:color="auto"/>
                    <w:left w:val="none" w:sz="0" w:space="0" w:color="auto"/>
                    <w:bottom w:val="none" w:sz="0" w:space="0" w:color="auto"/>
                    <w:right w:val="none" w:sz="0" w:space="0" w:color="auto"/>
                  </w:divBdr>
                  <w:divsChild>
                    <w:div w:id="153692431">
                      <w:marLeft w:val="0"/>
                      <w:marRight w:val="0"/>
                      <w:marTop w:val="0"/>
                      <w:marBottom w:val="0"/>
                      <w:divBdr>
                        <w:top w:val="none" w:sz="0" w:space="0" w:color="auto"/>
                        <w:left w:val="none" w:sz="0" w:space="0" w:color="auto"/>
                        <w:bottom w:val="none" w:sz="0" w:space="0" w:color="auto"/>
                        <w:right w:val="none" w:sz="0" w:space="0" w:color="auto"/>
                      </w:divBdr>
                      <w:divsChild>
                        <w:div w:id="2126845029">
                          <w:marLeft w:val="0"/>
                          <w:marRight w:val="0"/>
                          <w:marTop w:val="0"/>
                          <w:marBottom w:val="900"/>
                          <w:divBdr>
                            <w:top w:val="none" w:sz="0" w:space="0" w:color="auto"/>
                            <w:left w:val="none" w:sz="0" w:space="0" w:color="auto"/>
                            <w:bottom w:val="none" w:sz="0" w:space="0" w:color="auto"/>
                            <w:right w:val="none" w:sz="0" w:space="0" w:color="auto"/>
                          </w:divBdr>
                        </w:div>
                        <w:div w:id="376052948">
                          <w:marLeft w:val="0"/>
                          <w:marRight w:val="0"/>
                          <w:marTop w:val="0"/>
                          <w:marBottom w:val="0"/>
                          <w:divBdr>
                            <w:top w:val="none" w:sz="0" w:space="0" w:color="auto"/>
                            <w:left w:val="none" w:sz="0" w:space="0" w:color="auto"/>
                            <w:bottom w:val="none" w:sz="0" w:space="0" w:color="auto"/>
                            <w:right w:val="none" w:sz="0" w:space="0" w:color="auto"/>
                          </w:divBdr>
                          <w:divsChild>
                            <w:div w:id="1900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837499">
      <w:bodyDiv w:val="1"/>
      <w:marLeft w:val="0"/>
      <w:marRight w:val="0"/>
      <w:marTop w:val="0"/>
      <w:marBottom w:val="0"/>
      <w:divBdr>
        <w:top w:val="none" w:sz="0" w:space="0" w:color="auto"/>
        <w:left w:val="none" w:sz="0" w:space="0" w:color="auto"/>
        <w:bottom w:val="none" w:sz="0" w:space="0" w:color="auto"/>
        <w:right w:val="none" w:sz="0" w:space="0" w:color="auto"/>
      </w:divBdr>
    </w:div>
    <w:div w:id="19362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E2F8-84A8-46C9-90CA-C39089A6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332</Words>
  <Characters>1893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12</cp:revision>
  <cp:lastPrinted>2026-04-23T09:22:00Z</cp:lastPrinted>
  <dcterms:created xsi:type="dcterms:W3CDTF">2026-04-28T13:21:00Z</dcterms:created>
  <dcterms:modified xsi:type="dcterms:W3CDTF">2026-05-05T13:11:00Z</dcterms:modified>
</cp:coreProperties>
</file>