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E04E" w14:textId="77777777" w:rsidR="00D715DB" w:rsidRDefault="00D715DB" w:rsidP="00BE7D40">
      <w:pPr>
        <w:jc w:val="center"/>
        <w:rPr>
          <w:rFonts w:ascii="Arial" w:eastAsia="Times New Roman" w:hAnsi="Arial" w:cs="Arial"/>
          <w:b/>
          <w:bCs/>
          <w:color w:val="000000"/>
        </w:rPr>
      </w:pPr>
      <w:bookmarkStart w:id="0" w:name="_Hlk100827596"/>
    </w:p>
    <w:p w14:paraId="655808FB" w14:textId="0CD12AA3" w:rsidR="00BE7D40" w:rsidRPr="00183498" w:rsidRDefault="00BE7D40" w:rsidP="00183498">
      <w:pPr>
        <w:jc w:val="center"/>
        <w:rPr>
          <w:rFonts w:ascii="Arial" w:eastAsia="Times New Roman" w:hAnsi="Arial" w:cs="Arial"/>
          <w:color w:val="000000"/>
          <w:u w:val="single"/>
        </w:rPr>
      </w:pPr>
      <w:r w:rsidRPr="00183498">
        <w:rPr>
          <w:rFonts w:ascii="Arial" w:eastAsia="Times New Roman" w:hAnsi="Arial" w:cs="Arial"/>
          <w:b/>
          <w:bCs/>
          <w:color w:val="000000"/>
          <w:u w:val="single"/>
        </w:rPr>
        <w:t>C</w:t>
      </w:r>
      <w:r w:rsidR="00183498" w:rsidRPr="00183498">
        <w:rPr>
          <w:rFonts w:ascii="Arial" w:eastAsia="Times New Roman" w:hAnsi="Arial" w:cs="Arial"/>
          <w:b/>
          <w:bCs/>
          <w:color w:val="000000"/>
          <w:u w:val="single"/>
        </w:rPr>
        <w:t>omunicato stampa</w:t>
      </w:r>
    </w:p>
    <w:p w14:paraId="7D5D6709" w14:textId="77777777" w:rsidR="00BE7D40" w:rsidRPr="00183498" w:rsidRDefault="00BE7D40" w:rsidP="00183498">
      <w:pPr>
        <w:jc w:val="both"/>
        <w:rPr>
          <w:rFonts w:ascii="Arial" w:hAnsi="Arial" w:cs="Arial"/>
          <w:b/>
          <w:bCs/>
          <w:color w:val="000000"/>
        </w:rPr>
      </w:pPr>
    </w:p>
    <w:p w14:paraId="4CA5CB49" w14:textId="7F8630E1" w:rsidR="003069D2" w:rsidRPr="00183498" w:rsidRDefault="003069D2" w:rsidP="00183498">
      <w:pPr>
        <w:jc w:val="center"/>
        <w:rPr>
          <w:rFonts w:ascii="Arial" w:hAnsi="Arial" w:cs="Arial"/>
          <w:b/>
          <w:bCs/>
        </w:rPr>
      </w:pPr>
      <w:r w:rsidRPr="00183498">
        <w:rPr>
          <w:rFonts w:ascii="Arial" w:hAnsi="Arial" w:cs="Arial"/>
          <w:b/>
          <w:bCs/>
        </w:rPr>
        <w:t>IL DECRETO DI ATTUAZIONE DELLA LEGGE CAPITALI SOTTO LA LENTE DEI COMMERCIALISTI</w:t>
      </w:r>
    </w:p>
    <w:p w14:paraId="501AF396" w14:textId="77777777" w:rsidR="003069D2" w:rsidRPr="00183498" w:rsidRDefault="003069D2" w:rsidP="00183498">
      <w:pPr>
        <w:jc w:val="both"/>
        <w:rPr>
          <w:rFonts w:ascii="Arial" w:hAnsi="Arial" w:cs="Arial"/>
          <w:b/>
          <w:bCs/>
          <w:color w:val="000000"/>
        </w:rPr>
      </w:pPr>
    </w:p>
    <w:p w14:paraId="41D50B87" w14:textId="1BCCB06C" w:rsidR="003069D2" w:rsidRDefault="003069D2" w:rsidP="00183498">
      <w:pPr>
        <w:jc w:val="center"/>
        <w:rPr>
          <w:rFonts w:ascii="Arial" w:hAnsi="Arial" w:cs="Arial"/>
          <w:b/>
          <w:bCs/>
          <w:color w:val="262626" w:themeColor="text1" w:themeTint="D9"/>
        </w:rPr>
      </w:pPr>
      <w:r w:rsidRPr="00183498">
        <w:rPr>
          <w:rFonts w:ascii="Arial" w:hAnsi="Arial" w:cs="Arial"/>
          <w:b/>
          <w:bCs/>
          <w:color w:val="000000"/>
        </w:rPr>
        <w:t>Un documento CNDCEC – FNC offre una ricognizione ragionata sulle p</w:t>
      </w:r>
      <w:r w:rsidRPr="00183498">
        <w:rPr>
          <w:rFonts w:ascii="Arial" w:hAnsi="Arial" w:cs="Arial"/>
          <w:b/>
          <w:bCs/>
          <w:color w:val="262626" w:themeColor="text1" w:themeTint="D9"/>
        </w:rPr>
        <w:t>rincipali novità del TUF e del Codice civile</w:t>
      </w:r>
    </w:p>
    <w:p w14:paraId="6A0C83A4" w14:textId="77777777" w:rsidR="00183498" w:rsidRPr="00183498" w:rsidRDefault="00183498" w:rsidP="00183498">
      <w:pPr>
        <w:jc w:val="center"/>
        <w:rPr>
          <w:rFonts w:ascii="Arial" w:hAnsi="Arial" w:cs="Arial"/>
          <w:b/>
          <w:bCs/>
          <w:color w:val="000000"/>
        </w:rPr>
      </w:pPr>
    </w:p>
    <w:p w14:paraId="3BB27B24" w14:textId="59A2DD5D" w:rsidR="00A1599B" w:rsidRDefault="003069D2" w:rsidP="00183498">
      <w:pPr>
        <w:jc w:val="both"/>
        <w:rPr>
          <w:rFonts w:ascii="Arial" w:hAnsi="Arial" w:cs="Arial"/>
          <w:color w:val="262626" w:themeColor="text1" w:themeTint="D9"/>
        </w:rPr>
      </w:pPr>
      <w:bookmarkStart w:id="1" w:name="_Toc177655007"/>
      <w:bookmarkEnd w:id="0"/>
      <w:r w:rsidRPr="00183498">
        <w:rPr>
          <w:rFonts w:ascii="Arial" w:hAnsi="Arial" w:cs="Arial"/>
          <w:i/>
          <w:iCs/>
          <w:color w:val="262626" w:themeColor="text1" w:themeTint="D9"/>
        </w:rPr>
        <w:t>Roma, 28 aprile 2026 -</w:t>
      </w:r>
      <w:r w:rsidRPr="00183498">
        <w:rPr>
          <w:rFonts w:ascii="Arial" w:hAnsi="Arial" w:cs="Arial"/>
          <w:color w:val="262626" w:themeColor="text1" w:themeTint="D9"/>
        </w:rPr>
        <w:t xml:space="preserve"> </w:t>
      </w:r>
      <w:r w:rsidR="00A1599B" w:rsidRPr="00183498">
        <w:rPr>
          <w:rFonts w:ascii="Arial" w:hAnsi="Arial" w:cs="Arial"/>
          <w:color w:val="262626" w:themeColor="text1" w:themeTint="D9"/>
        </w:rPr>
        <w:t>Analizzare le principali novità introdotte dal decreto legislativo di attuazione della delega per la riforma organica delle disposizioni in materia di mercati dei capitali nel Testo unico delle disposizioni in materia di intermediazione finanziaria, nonché di alcune disposizioni del Codice civile in materia di società di capitali. È il principale obbiettivo del documento “</w:t>
      </w:r>
      <w:r w:rsidRPr="00183498">
        <w:rPr>
          <w:rFonts w:ascii="Arial" w:hAnsi="Arial" w:cs="Arial"/>
          <w:b/>
          <w:bCs/>
          <w:color w:val="262626" w:themeColor="text1" w:themeTint="D9"/>
        </w:rPr>
        <w:t>I</w:t>
      </w:r>
      <w:r w:rsidR="00A1599B" w:rsidRPr="00183498">
        <w:rPr>
          <w:rFonts w:ascii="Arial" w:hAnsi="Arial" w:cs="Arial"/>
          <w:b/>
          <w:bCs/>
          <w:color w:val="262626" w:themeColor="text1" w:themeTint="D9"/>
        </w:rPr>
        <w:t>l decreto di attuazione della Legge Capitali</w:t>
      </w:r>
      <w:r w:rsidRPr="00183498">
        <w:rPr>
          <w:rFonts w:ascii="Arial" w:hAnsi="Arial" w:cs="Arial"/>
          <w:b/>
          <w:bCs/>
          <w:color w:val="262626" w:themeColor="text1" w:themeTint="D9"/>
        </w:rPr>
        <w:t>.</w:t>
      </w:r>
      <w:r w:rsidR="00A1599B" w:rsidRPr="00183498">
        <w:rPr>
          <w:rFonts w:ascii="Arial" w:hAnsi="Arial" w:cs="Arial"/>
          <w:b/>
          <w:bCs/>
          <w:color w:val="262626" w:themeColor="text1" w:themeTint="D9"/>
        </w:rPr>
        <w:t xml:space="preserve"> Principali novità del TUF e del Codice civile</w:t>
      </w:r>
      <w:r w:rsidR="00A1599B" w:rsidRPr="00183498">
        <w:rPr>
          <w:rFonts w:ascii="Arial" w:hAnsi="Arial" w:cs="Arial"/>
          <w:color w:val="262626" w:themeColor="text1" w:themeTint="D9"/>
        </w:rPr>
        <w:t>”, pubblicato dal Consiglio e dalla Fondazione nazionali dei commercialisti. La pubblicazione rientra nell’ambito delle attività delle aree di delega del Consiglio nazionale “Sistemi di controllo e revisione legale (financial e non financial)</w:t>
      </w:r>
      <w:r w:rsidR="00EC5830">
        <w:rPr>
          <w:rFonts w:ascii="Arial" w:hAnsi="Arial" w:cs="Arial"/>
          <w:color w:val="262626" w:themeColor="text1" w:themeTint="D9"/>
        </w:rPr>
        <w:t>”, “</w:t>
      </w:r>
      <w:r w:rsidR="00A1599B" w:rsidRPr="00183498">
        <w:rPr>
          <w:rFonts w:ascii="Arial" w:hAnsi="Arial" w:cs="Arial"/>
          <w:color w:val="262626" w:themeColor="text1" w:themeTint="D9"/>
        </w:rPr>
        <w:t>Diritto societario</w:t>
      </w:r>
      <w:r w:rsidR="00EC5830">
        <w:rPr>
          <w:rFonts w:ascii="Arial" w:hAnsi="Arial" w:cs="Arial"/>
          <w:color w:val="262626" w:themeColor="text1" w:themeTint="D9"/>
        </w:rPr>
        <w:t>” e “</w:t>
      </w:r>
      <w:r w:rsidR="00A1599B" w:rsidRPr="00183498">
        <w:rPr>
          <w:rFonts w:ascii="Arial" w:hAnsi="Arial" w:cs="Arial"/>
          <w:color w:val="262626" w:themeColor="text1" w:themeTint="D9"/>
        </w:rPr>
        <w:t>Finanza aziendale</w:t>
      </w:r>
      <w:r w:rsidR="00EC5830">
        <w:rPr>
          <w:rFonts w:ascii="Arial" w:hAnsi="Arial" w:cs="Arial"/>
          <w:color w:val="262626" w:themeColor="text1" w:themeTint="D9"/>
        </w:rPr>
        <w:t>”</w:t>
      </w:r>
      <w:r w:rsidR="00A1599B" w:rsidRPr="00183498">
        <w:rPr>
          <w:rFonts w:ascii="Arial" w:hAnsi="Arial" w:cs="Arial"/>
          <w:color w:val="262626" w:themeColor="text1" w:themeTint="D9"/>
        </w:rPr>
        <w:t xml:space="preserve">, seguite dai consiglieri nazionali </w:t>
      </w:r>
      <w:r w:rsidR="00A1599B" w:rsidRPr="00183498">
        <w:rPr>
          <w:rFonts w:ascii="Arial" w:hAnsi="Arial" w:cs="Arial"/>
          <w:b/>
          <w:bCs/>
          <w:color w:val="262626" w:themeColor="text1" w:themeTint="D9"/>
        </w:rPr>
        <w:t xml:space="preserve">Gian Luca Ancarani </w:t>
      </w:r>
      <w:r w:rsidR="00A1599B" w:rsidRPr="00183498">
        <w:rPr>
          <w:rFonts w:ascii="Arial" w:hAnsi="Arial" w:cs="Arial"/>
          <w:color w:val="262626" w:themeColor="text1" w:themeTint="D9"/>
        </w:rPr>
        <w:t xml:space="preserve">e </w:t>
      </w:r>
      <w:r w:rsidR="00A1599B" w:rsidRPr="00183498">
        <w:rPr>
          <w:rFonts w:ascii="Arial" w:hAnsi="Arial" w:cs="Arial"/>
          <w:b/>
          <w:bCs/>
          <w:color w:val="262626" w:themeColor="text1" w:themeTint="D9"/>
        </w:rPr>
        <w:t>Maurizio Masini</w:t>
      </w:r>
      <w:r w:rsidR="00A1599B" w:rsidRPr="00183498">
        <w:rPr>
          <w:rFonts w:ascii="Arial" w:hAnsi="Arial" w:cs="Arial"/>
          <w:color w:val="262626" w:themeColor="text1" w:themeTint="D9"/>
        </w:rPr>
        <w:t xml:space="preserve">, </w:t>
      </w:r>
      <w:r w:rsidR="00A1599B" w:rsidRPr="00183498">
        <w:rPr>
          <w:rFonts w:ascii="Arial" w:hAnsi="Arial" w:cs="Arial"/>
          <w:b/>
          <w:bCs/>
          <w:color w:val="262626" w:themeColor="text1" w:themeTint="D9"/>
        </w:rPr>
        <w:t xml:space="preserve">David Moro </w:t>
      </w:r>
      <w:r w:rsidR="00A1599B" w:rsidRPr="00183498">
        <w:rPr>
          <w:rFonts w:ascii="Arial" w:hAnsi="Arial" w:cs="Arial"/>
          <w:color w:val="262626" w:themeColor="text1" w:themeTint="D9"/>
        </w:rPr>
        <w:t xml:space="preserve">e </w:t>
      </w:r>
      <w:r w:rsidR="00A1599B" w:rsidRPr="00183498">
        <w:rPr>
          <w:rFonts w:ascii="Arial" w:hAnsi="Arial" w:cs="Arial"/>
          <w:b/>
          <w:bCs/>
          <w:color w:val="262626" w:themeColor="text1" w:themeTint="D9"/>
        </w:rPr>
        <w:t>Antonio Repaci</w:t>
      </w:r>
      <w:r w:rsidR="00A1599B" w:rsidRPr="00183498">
        <w:rPr>
          <w:rFonts w:ascii="Arial" w:hAnsi="Arial" w:cs="Arial"/>
          <w:color w:val="262626" w:themeColor="text1" w:themeTint="D9"/>
        </w:rPr>
        <w:t>.</w:t>
      </w:r>
    </w:p>
    <w:p w14:paraId="4579DEED" w14:textId="77777777" w:rsidR="00183498" w:rsidRPr="00183498" w:rsidRDefault="00183498" w:rsidP="00183498">
      <w:pPr>
        <w:jc w:val="both"/>
        <w:rPr>
          <w:rFonts w:ascii="Arial" w:hAnsi="Arial" w:cs="Arial"/>
          <w:color w:val="262626" w:themeColor="text1" w:themeTint="D9"/>
        </w:rPr>
      </w:pPr>
    </w:p>
    <w:p w14:paraId="492AF0C4" w14:textId="0662DA18" w:rsidR="00A1599B" w:rsidRDefault="00A1599B" w:rsidP="00183498">
      <w:pPr>
        <w:jc w:val="both"/>
        <w:rPr>
          <w:rFonts w:ascii="Arial" w:hAnsi="Arial" w:cs="Arial"/>
          <w:color w:val="262626" w:themeColor="text1" w:themeTint="D9"/>
        </w:rPr>
      </w:pPr>
      <w:r w:rsidRPr="00183498">
        <w:rPr>
          <w:rFonts w:ascii="Arial" w:hAnsi="Arial" w:cs="Arial"/>
          <w:color w:val="262626" w:themeColor="text1" w:themeTint="D9"/>
        </w:rPr>
        <w:t xml:space="preserve">L’analisi, alla luce anche delle indicazioni contenute nella relazione illustrativa dello schema di decreto legislativo e nel più ampio quadro di riferimento del diritto europeo dei mercati finanziari, è orientata a evidenziare, da un lato, le modifiche rilevanti sotto il </w:t>
      </w:r>
      <w:r w:rsidRPr="00183498">
        <w:rPr>
          <w:rFonts w:ascii="Arial" w:hAnsi="Arial" w:cs="Arial"/>
          <w:b/>
          <w:bCs/>
          <w:color w:val="262626" w:themeColor="text1" w:themeTint="D9"/>
        </w:rPr>
        <w:t>profilo giuridico</w:t>
      </w:r>
      <w:r w:rsidRPr="00183498">
        <w:rPr>
          <w:rFonts w:ascii="Arial" w:hAnsi="Arial" w:cs="Arial"/>
          <w:color w:val="262626" w:themeColor="text1" w:themeTint="D9"/>
        </w:rPr>
        <w:t xml:space="preserve">, dall’altro, la </w:t>
      </w:r>
      <w:r w:rsidRPr="00183498">
        <w:rPr>
          <w:rFonts w:ascii="Arial" w:hAnsi="Arial" w:cs="Arial"/>
          <w:b/>
          <w:bCs/>
          <w:i/>
          <w:color w:val="262626" w:themeColor="text1" w:themeTint="D9"/>
        </w:rPr>
        <w:t>ratio</w:t>
      </w:r>
      <w:r w:rsidRPr="00183498">
        <w:rPr>
          <w:rFonts w:ascii="Arial" w:hAnsi="Arial" w:cs="Arial"/>
          <w:b/>
          <w:bCs/>
          <w:color w:val="262626" w:themeColor="text1" w:themeTint="D9"/>
        </w:rPr>
        <w:t xml:space="preserve"> economico-finanziaria</w:t>
      </w:r>
      <w:r w:rsidRPr="00183498">
        <w:rPr>
          <w:rFonts w:ascii="Arial" w:hAnsi="Arial" w:cs="Arial"/>
          <w:color w:val="262626" w:themeColor="text1" w:themeTint="D9"/>
        </w:rPr>
        <w:t xml:space="preserve"> posta alla base del provvedimento normativo, con particolare attenzione </w:t>
      </w:r>
      <w:r w:rsidRPr="00183498">
        <w:rPr>
          <w:rFonts w:ascii="Arial" w:hAnsi="Arial" w:cs="Arial"/>
          <w:iCs/>
          <w:color w:val="262626" w:themeColor="text1" w:themeTint="D9"/>
        </w:rPr>
        <w:t>a</w:t>
      </w:r>
      <w:r w:rsidRPr="00183498">
        <w:rPr>
          <w:rFonts w:ascii="Arial" w:hAnsi="Arial" w:cs="Arial"/>
          <w:color w:val="262626" w:themeColor="text1" w:themeTint="D9"/>
        </w:rPr>
        <w:t>gli effetti prodotti sull’efficienza e sulla competitività del mercato italiano dei capitali.</w:t>
      </w:r>
    </w:p>
    <w:p w14:paraId="5B5D64AE" w14:textId="77777777" w:rsidR="00183498" w:rsidRPr="00183498" w:rsidRDefault="00183498" w:rsidP="00183498">
      <w:pPr>
        <w:jc w:val="both"/>
        <w:rPr>
          <w:rFonts w:ascii="Arial" w:hAnsi="Arial" w:cs="Arial"/>
          <w:color w:val="262626" w:themeColor="text1" w:themeTint="D9"/>
        </w:rPr>
      </w:pPr>
    </w:p>
    <w:p w14:paraId="0F635D22" w14:textId="77777777" w:rsidR="00A1599B" w:rsidRDefault="00A1599B" w:rsidP="00183498">
      <w:pPr>
        <w:jc w:val="both"/>
        <w:rPr>
          <w:rFonts w:ascii="Arial" w:hAnsi="Arial" w:cs="Arial"/>
          <w:color w:val="262626" w:themeColor="text1" w:themeTint="D9"/>
        </w:rPr>
      </w:pPr>
      <w:r w:rsidRPr="00183498">
        <w:rPr>
          <w:rFonts w:ascii="Arial" w:hAnsi="Arial" w:cs="Arial"/>
          <w:color w:val="262626" w:themeColor="text1" w:themeTint="D9"/>
        </w:rPr>
        <w:t xml:space="preserve">Le disposizioni modificate o introdotte </w:t>
      </w:r>
      <w:r w:rsidRPr="00183498">
        <w:rPr>
          <w:rFonts w:ascii="Arial" w:hAnsi="Arial" w:cs="Arial"/>
          <w:i/>
          <w:color w:val="262626" w:themeColor="text1" w:themeTint="D9"/>
        </w:rPr>
        <w:t>ex novo</w:t>
      </w:r>
      <w:r w:rsidRPr="00183498">
        <w:rPr>
          <w:rFonts w:ascii="Arial" w:hAnsi="Arial" w:cs="Arial"/>
          <w:color w:val="262626" w:themeColor="text1" w:themeTint="D9"/>
        </w:rPr>
        <w:t xml:space="preserve"> si collocano nell’ambito di un più ampio processo di </w:t>
      </w:r>
      <w:r w:rsidRPr="00183498">
        <w:rPr>
          <w:rFonts w:ascii="Arial" w:hAnsi="Arial" w:cs="Arial"/>
          <w:b/>
          <w:bCs/>
          <w:color w:val="262626" w:themeColor="text1" w:themeTint="D9"/>
        </w:rPr>
        <w:t>semplificazione del quadro normativo</w:t>
      </w:r>
      <w:r w:rsidRPr="00183498">
        <w:rPr>
          <w:rFonts w:ascii="Arial" w:hAnsi="Arial" w:cs="Arial"/>
          <w:color w:val="262626" w:themeColor="text1" w:themeTint="D9"/>
        </w:rPr>
        <w:t xml:space="preserve"> finalizzato a ridurre l’area dell’</w:t>
      </w:r>
      <w:r w:rsidRPr="00183498">
        <w:rPr>
          <w:rFonts w:ascii="Arial" w:hAnsi="Arial" w:cs="Arial"/>
          <w:b/>
          <w:bCs/>
          <w:color w:val="262626" w:themeColor="text1" w:themeTint="D9"/>
        </w:rPr>
        <w:t xml:space="preserve">interpretazione discrezionale </w:t>
      </w:r>
      <w:r w:rsidRPr="00183498">
        <w:rPr>
          <w:rFonts w:ascii="Arial" w:hAnsi="Arial" w:cs="Arial"/>
          <w:color w:val="262626" w:themeColor="text1" w:themeTint="D9"/>
        </w:rPr>
        <w:t xml:space="preserve">e, al contempo, a rafforzare l’allineamento dell’ordinamento interno ai principi e alle fonti del diritto dell’Unione Europea, in un’ottica di </w:t>
      </w:r>
      <w:r w:rsidRPr="00183498">
        <w:rPr>
          <w:rFonts w:ascii="Arial" w:hAnsi="Arial" w:cs="Arial"/>
          <w:b/>
          <w:bCs/>
          <w:color w:val="262626" w:themeColor="text1" w:themeTint="D9"/>
        </w:rPr>
        <w:t>coordinamento, coerenza e armonizzazione sistemica</w:t>
      </w:r>
      <w:r w:rsidRPr="00183498">
        <w:rPr>
          <w:rFonts w:ascii="Arial" w:hAnsi="Arial" w:cs="Arial"/>
          <w:color w:val="262626" w:themeColor="text1" w:themeTint="D9"/>
        </w:rPr>
        <w:t>.</w:t>
      </w:r>
    </w:p>
    <w:p w14:paraId="0CFB0534" w14:textId="77777777" w:rsidR="00183498" w:rsidRPr="00183498" w:rsidRDefault="00183498" w:rsidP="00183498">
      <w:pPr>
        <w:jc w:val="both"/>
        <w:rPr>
          <w:rFonts w:ascii="Arial" w:hAnsi="Arial" w:cs="Arial"/>
          <w:color w:val="262626" w:themeColor="text1" w:themeTint="D9"/>
        </w:rPr>
      </w:pPr>
    </w:p>
    <w:bookmarkEnd w:id="1"/>
    <w:p w14:paraId="5D4D822A" w14:textId="48350659" w:rsidR="00A1599B" w:rsidRDefault="00A1599B" w:rsidP="00183498">
      <w:pPr>
        <w:jc w:val="both"/>
        <w:rPr>
          <w:rFonts w:ascii="Arial" w:hAnsi="Arial" w:cs="Arial"/>
          <w:color w:val="262626" w:themeColor="text1" w:themeTint="D9"/>
        </w:rPr>
      </w:pPr>
      <w:r w:rsidRPr="00183498">
        <w:rPr>
          <w:rFonts w:ascii="Arial" w:hAnsi="Arial" w:cs="Arial"/>
          <w:color w:val="262626" w:themeColor="text1" w:themeTint="D9"/>
        </w:rPr>
        <w:t xml:space="preserve">Il documento, in modo sistematico, offre una </w:t>
      </w:r>
      <w:r w:rsidRPr="00183498">
        <w:rPr>
          <w:rFonts w:ascii="Arial" w:hAnsi="Arial" w:cs="Arial"/>
          <w:b/>
          <w:bCs/>
          <w:color w:val="262626" w:themeColor="text1" w:themeTint="D9"/>
        </w:rPr>
        <w:t>ricognizione ragionata</w:t>
      </w:r>
      <w:r w:rsidRPr="00183498">
        <w:rPr>
          <w:rFonts w:ascii="Arial" w:hAnsi="Arial" w:cs="Arial"/>
          <w:color w:val="262626" w:themeColor="text1" w:themeTint="D9"/>
        </w:rPr>
        <w:t xml:space="preserve"> di alcune delle principali novità contenute nel Decreto, soffermandosi, in linea generale, sulla disciplina delle </w:t>
      </w:r>
      <w:r w:rsidRPr="00183498">
        <w:rPr>
          <w:rFonts w:ascii="Arial" w:hAnsi="Arial" w:cs="Arial"/>
          <w:b/>
          <w:bCs/>
          <w:color w:val="262626" w:themeColor="text1" w:themeTint="D9"/>
        </w:rPr>
        <w:t>società di partenariato</w:t>
      </w:r>
      <w:r w:rsidRPr="00183498">
        <w:rPr>
          <w:rFonts w:ascii="Arial" w:hAnsi="Arial" w:cs="Arial"/>
          <w:color w:val="262626" w:themeColor="text1" w:themeTint="D9"/>
        </w:rPr>
        <w:t xml:space="preserve">, sui temi centrali in materia di </w:t>
      </w:r>
      <w:r w:rsidRPr="00183498">
        <w:rPr>
          <w:rFonts w:ascii="Arial" w:hAnsi="Arial" w:cs="Arial"/>
          <w:b/>
          <w:bCs/>
          <w:color w:val="262626" w:themeColor="text1" w:themeTint="D9"/>
        </w:rPr>
        <w:t>appello al pubblico risparmio</w:t>
      </w:r>
      <w:r w:rsidRPr="00183498">
        <w:rPr>
          <w:rFonts w:ascii="Arial" w:hAnsi="Arial" w:cs="Arial"/>
          <w:color w:val="262626" w:themeColor="text1" w:themeTint="D9"/>
        </w:rPr>
        <w:t xml:space="preserve"> che riguardano il </w:t>
      </w:r>
      <w:r w:rsidRPr="00183498">
        <w:rPr>
          <w:rFonts w:ascii="Arial" w:hAnsi="Arial" w:cs="Arial"/>
          <w:b/>
          <w:bCs/>
          <w:color w:val="262626" w:themeColor="text1" w:themeTint="D9"/>
        </w:rPr>
        <w:t>controllo societario</w:t>
      </w:r>
      <w:r w:rsidRPr="00183498">
        <w:rPr>
          <w:rFonts w:ascii="Arial" w:hAnsi="Arial" w:cs="Arial"/>
          <w:color w:val="262626" w:themeColor="text1" w:themeTint="D9"/>
        </w:rPr>
        <w:t xml:space="preserve"> e l’</w:t>
      </w:r>
      <w:r w:rsidRPr="00183498">
        <w:rPr>
          <w:rFonts w:ascii="Arial" w:hAnsi="Arial" w:cs="Arial"/>
          <w:b/>
          <w:bCs/>
          <w:color w:val="262626" w:themeColor="text1" w:themeTint="D9"/>
        </w:rPr>
        <w:t>informazione al mercato</w:t>
      </w:r>
      <w:r w:rsidRPr="00183498">
        <w:rPr>
          <w:rFonts w:ascii="Arial" w:hAnsi="Arial" w:cs="Arial"/>
          <w:color w:val="262626" w:themeColor="text1" w:themeTint="D9"/>
        </w:rPr>
        <w:t xml:space="preserve">, sulla disciplina delle </w:t>
      </w:r>
      <w:r w:rsidRPr="00183498">
        <w:rPr>
          <w:rFonts w:ascii="Arial" w:hAnsi="Arial" w:cs="Arial"/>
          <w:b/>
          <w:bCs/>
          <w:color w:val="262626" w:themeColor="text1" w:themeTint="D9"/>
        </w:rPr>
        <w:t>società quotate</w:t>
      </w:r>
      <w:r w:rsidRPr="00183498">
        <w:rPr>
          <w:rFonts w:ascii="Arial" w:hAnsi="Arial" w:cs="Arial"/>
          <w:color w:val="262626" w:themeColor="text1" w:themeTint="D9"/>
        </w:rPr>
        <w:t xml:space="preserve"> con particolare riguardo alle semplificazioni degli </w:t>
      </w:r>
      <w:r w:rsidRPr="00183498">
        <w:rPr>
          <w:rFonts w:ascii="Arial" w:hAnsi="Arial" w:cs="Arial"/>
          <w:b/>
          <w:bCs/>
          <w:color w:val="262626" w:themeColor="text1" w:themeTint="D9"/>
        </w:rPr>
        <w:t>obblighi informativi</w:t>
      </w:r>
      <w:r w:rsidRPr="00183498">
        <w:rPr>
          <w:rFonts w:ascii="Arial" w:hAnsi="Arial" w:cs="Arial"/>
          <w:color w:val="262626" w:themeColor="text1" w:themeTint="D9"/>
        </w:rPr>
        <w:t xml:space="preserve"> e della </w:t>
      </w:r>
      <w:r w:rsidRPr="00183498">
        <w:rPr>
          <w:rFonts w:ascii="Arial" w:hAnsi="Arial" w:cs="Arial"/>
          <w:b/>
          <w:bCs/>
          <w:color w:val="262626" w:themeColor="text1" w:themeTint="D9"/>
        </w:rPr>
        <w:t>regolamentazione delle assemblee</w:t>
      </w:r>
      <w:r w:rsidRPr="00183498">
        <w:rPr>
          <w:rFonts w:ascii="Arial" w:hAnsi="Arial" w:cs="Arial"/>
          <w:color w:val="262626" w:themeColor="text1" w:themeTint="D9"/>
        </w:rPr>
        <w:t xml:space="preserve"> e sulla disciplina speciale relativa agli </w:t>
      </w:r>
      <w:r w:rsidRPr="00183498">
        <w:rPr>
          <w:rFonts w:ascii="Arial" w:hAnsi="Arial" w:cs="Arial"/>
          <w:b/>
          <w:bCs/>
          <w:color w:val="262626" w:themeColor="text1" w:themeTint="D9"/>
        </w:rPr>
        <w:t>emittenti di nuova quotazione</w:t>
      </w:r>
      <w:r w:rsidRPr="00183498">
        <w:rPr>
          <w:rFonts w:ascii="Arial" w:hAnsi="Arial" w:cs="Arial"/>
          <w:color w:val="262626" w:themeColor="text1" w:themeTint="D9"/>
        </w:rPr>
        <w:t xml:space="preserve">. Si annotano </w:t>
      </w:r>
      <w:r w:rsidR="003069D2" w:rsidRPr="00183498">
        <w:rPr>
          <w:rFonts w:ascii="Arial" w:hAnsi="Arial" w:cs="Arial"/>
          <w:color w:val="262626" w:themeColor="text1" w:themeTint="D9"/>
        </w:rPr>
        <w:t xml:space="preserve">anche </w:t>
      </w:r>
      <w:r w:rsidRPr="00183498">
        <w:rPr>
          <w:rFonts w:ascii="Arial" w:hAnsi="Arial" w:cs="Arial"/>
          <w:color w:val="262626" w:themeColor="text1" w:themeTint="D9"/>
        </w:rPr>
        <w:t xml:space="preserve">le modifiche che attengono alla governance e alla composizione degli </w:t>
      </w:r>
      <w:r w:rsidRPr="00183498">
        <w:rPr>
          <w:rFonts w:ascii="Arial" w:hAnsi="Arial" w:cs="Arial"/>
          <w:b/>
          <w:bCs/>
          <w:color w:val="262626" w:themeColor="text1" w:themeTint="D9"/>
        </w:rPr>
        <w:t>organi societari</w:t>
      </w:r>
      <w:r w:rsidRPr="00183498">
        <w:rPr>
          <w:rFonts w:ascii="Arial" w:hAnsi="Arial" w:cs="Arial"/>
          <w:color w:val="262626" w:themeColor="text1" w:themeTint="D9"/>
        </w:rPr>
        <w:t xml:space="preserve">, con specifica attenzione sulla complessa revisione delle disposizioni del Codice civile in ordine alle discipline dei </w:t>
      </w:r>
      <w:r w:rsidRPr="00183498">
        <w:rPr>
          <w:rFonts w:ascii="Arial" w:hAnsi="Arial" w:cs="Arial"/>
          <w:b/>
          <w:bCs/>
          <w:color w:val="262626" w:themeColor="text1" w:themeTint="D9"/>
        </w:rPr>
        <w:t>sistemi di amministrazione e controllo</w:t>
      </w:r>
      <w:r w:rsidRPr="00183498">
        <w:rPr>
          <w:rFonts w:ascii="Arial" w:hAnsi="Arial" w:cs="Arial"/>
          <w:color w:val="262626" w:themeColor="text1" w:themeTint="D9"/>
        </w:rPr>
        <w:t xml:space="preserve">, evidenziandone l’impatto operativo per </w:t>
      </w:r>
      <w:r w:rsidRPr="00183498">
        <w:rPr>
          <w:rFonts w:ascii="Arial" w:hAnsi="Arial" w:cs="Arial"/>
          <w:b/>
          <w:bCs/>
          <w:color w:val="262626" w:themeColor="text1" w:themeTint="D9"/>
        </w:rPr>
        <w:t xml:space="preserve">società </w:t>
      </w:r>
      <w:r w:rsidRPr="00183498">
        <w:rPr>
          <w:rFonts w:ascii="Arial" w:hAnsi="Arial" w:cs="Arial"/>
          <w:color w:val="262626" w:themeColor="text1" w:themeTint="D9"/>
        </w:rPr>
        <w:t xml:space="preserve">e </w:t>
      </w:r>
      <w:r w:rsidRPr="00183498">
        <w:rPr>
          <w:rFonts w:ascii="Arial" w:hAnsi="Arial" w:cs="Arial"/>
          <w:b/>
          <w:bCs/>
          <w:color w:val="262626" w:themeColor="text1" w:themeTint="D9"/>
        </w:rPr>
        <w:t>professionisti</w:t>
      </w:r>
      <w:r w:rsidRPr="00183498">
        <w:rPr>
          <w:rFonts w:ascii="Arial" w:hAnsi="Arial" w:cs="Arial"/>
          <w:color w:val="262626" w:themeColor="text1" w:themeTint="D9"/>
        </w:rPr>
        <w:t xml:space="preserve"> che ricoprono cariche sociali e fornendo un </w:t>
      </w:r>
      <w:r w:rsidRPr="00183498">
        <w:rPr>
          <w:rFonts w:ascii="Arial" w:hAnsi="Arial" w:cs="Arial"/>
          <w:b/>
          <w:bCs/>
          <w:color w:val="262626" w:themeColor="text1" w:themeTint="D9"/>
        </w:rPr>
        <w:t>quadro interpretativo</w:t>
      </w:r>
      <w:r w:rsidRPr="00183498">
        <w:rPr>
          <w:rFonts w:ascii="Arial" w:hAnsi="Arial" w:cs="Arial"/>
          <w:color w:val="262626" w:themeColor="text1" w:themeTint="D9"/>
        </w:rPr>
        <w:t xml:space="preserve"> utile per l’adeguamento degli assetti societari alla nuova disciplina, considerate anche le novità in tema di  integrazione dei sistemi di AI nelle funzioni di controllo.</w:t>
      </w:r>
    </w:p>
    <w:p w14:paraId="61DB598D" w14:textId="77777777" w:rsidR="00183498" w:rsidRPr="00183498" w:rsidRDefault="00183498" w:rsidP="00183498">
      <w:pPr>
        <w:jc w:val="both"/>
        <w:rPr>
          <w:rFonts w:ascii="Arial" w:hAnsi="Arial" w:cs="Arial"/>
          <w:color w:val="262626" w:themeColor="text1" w:themeTint="D9"/>
        </w:rPr>
      </w:pPr>
    </w:p>
    <w:p w14:paraId="01877847" w14:textId="35415003" w:rsidR="00A1599B" w:rsidRPr="00183498" w:rsidRDefault="00A1599B" w:rsidP="00183498">
      <w:pPr>
        <w:jc w:val="both"/>
        <w:rPr>
          <w:rFonts w:ascii="Arial" w:hAnsi="Arial" w:cs="Arial"/>
          <w:color w:val="262626" w:themeColor="text1" w:themeTint="D9"/>
        </w:rPr>
      </w:pPr>
      <w:r w:rsidRPr="00183498">
        <w:rPr>
          <w:rFonts w:ascii="Arial" w:hAnsi="Arial" w:cs="Arial"/>
          <w:color w:val="262626" w:themeColor="text1" w:themeTint="D9"/>
        </w:rPr>
        <w:t xml:space="preserve">Il documento, attraverso l’ausilio di tabelle sinottiche, offre uno </w:t>
      </w:r>
      <w:r w:rsidRPr="00183498">
        <w:rPr>
          <w:rFonts w:ascii="Arial" w:hAnsi="Arial" w:cs="Arial"/>
          <w:b/>
          <w:bCs/>
          <w:color w:val="262626" w:themeColor="text1" w:themeTint="D9"/>
        </w:rPr>
        <w:t>strumento operativo</w:t>
      </w:r>
      <w:r w:rsidRPr="00183498">
        <w:rPr>
          <w:rFonts w:ascii="Arial" w:hAnsi="Arial" w:cs="Arial"/>
          <w:color w:val="262626" w:themeColor="text1" w:themeTint="D9"/>
        </w:rPr>
        <w:t xml:space="preserve"> per i professionisti.</w:t>
      </w:r>
    </w:p>
    <w:sectPr w:rsidR="00A1599B" w:rsidRPr="0018349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F42F" w14:textId="77777777" w:rsidR="003D03AB" w:rsidRDefault="003D03AB" w:rsidP="00A57D38">
      <w:r>
        <w:separator/>
      </w:r>
    </w:p>
  </w:endnote>
  <w:endnote w:type="continuationSeparator" w:id="0">
    <w:p w14:paraId="352D288A" w14:textId="77777777" w:rsidR="003D03AB" w:rsidRDefault="003D03AB"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orpo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516F" w14:textId="77777777" w:rsidR="003D03AB" w:rsidRDefault="003D03AB" w:rsidP="00A57D38">
      <w:r>
        <w:separator/>
      </w:r>
    </w:p>
  </w:footnote>
  <w:footnote w:type="continuationSeparator" w:id="0">
    <w:p w14:paraId="607130DB" w14:textId="77777777" w:rsidR="003D03AB" w:rsidRDefault="003D03AB"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792339"/>
    <w:multiLevelType w:val="hybridMultilevel"/>
    <w:tmpl w:val="84D8D5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A96C90"/>
    <w:multiLevelType w:val="multilevel"/>
    <w:tmpl w:val="9B3CE18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Theme="majorEastAsia" w:cstheme="majorBidi" w:hint="default"/>
        <w:b/>
        <w:color w:val="C00000"/>
        <w:sz w:val="28"/>
      </w:rPr>
    </w:lvl>
    <w:lvl w:ilvl="2">
      <w:start w:val="1"/>
      <w:numFmt w:val="decimal"/>
      <w:isLgl/>
      <w:lvlText w:val="%1.%2.%3."/>
      <w:lvlJc w:val="left"/>
      <w:pPr>
        <w:ind w:left="1080" w:hanging="720"/>
      </w:pPr>
      <w:rPr>
        <w:rFonts w:eastAsiaTheme="majorEastAsia" w:cstheme="majorBidi" w:hint="default"/>
        <w:b/>
        <w:color w:val="C00000"/>
        <w:sz w:val="28"/>
      </w:rPr>
    </w:lvl>
    <w:lvl w:ilvl="3">
      <w:start w:val="1"/>
      <w:numFmt w:val="decimal"/>
      <w:isLgl/>
      <w:lvlText w:val="%1.%2.%3.%4."/>
      <w:lvlJc w:val="left"/>
      <w:pPr>
        <w:ind w:left="1080" w:hanging="720"/>
      </w:pPr>
      <w:rPr>
        <w:rFonts w:eastAsiaTheme="majorEastAsia" w:cstheme="majorBidi" w:hint="default"/>
        <w:b/>
        <w:color w:val="C00000"/>
        <w:sz w:val="28"/>
      </w:rPr>
    </w:lvl>
    <w:lvl w:ilvl="4">
      <w:start w:val="1"/>
      <w:numFmt w:val="decimal"/>
      <w:isLgl/>
      <w:lvlText w:val="%1.%2.%3.%4.%5."/>
      <w:lvlJc w:val="left"/>
      <w:pPr>
        <w:ind w:left="1440" w:hanging="1080"/>
      </w:pPr>
      <w:rPr>
        <w:rFonts w:eastAsiaTheme="majorEastAsia" w:cstheme="majorBidi" w:hint="default"/>
        <w:b/>
        <w:color w:val="C00000"/>
        <w:sz w:val="28"/>
      </w:rPr>
    </w:lvl>
    <w:lvl w:ilvl="5">
      <w:start w:val="1"/>
      <w:numFmt w:val="decimal"/>
      <w:isLgl/>
      <w:lvlText w:val="%1.%2.%3.%4.%5.%6."/>
      <w:lvlJc w:val="left"/>
      <w:pPr>
        <w:ind w:left="1440" w:hanging="1080"/>
      </w:pPr>
      <w:rPr>
        <w:rFonts w:eastAsiaTheme="majorEastAsia" w:cstheme="majorBidi" w:hint="default"/>
        <w:b/>
        <w:color w:val="C00000"/>
        <w:sz w:val="28"/>
      </w:rPr>
    </w:lvl>
    <w:lvl w:ilvl="6">
      <w:start w:val="1"/>
      <w:numFmt w:val="decimal"/>
      <w:isLgl/>
      <w:lvlText w:val="%1.%2.%3.%4.%5.%6.%7."/>
      <w:lvlJc w:val="left"/>
      <w:pPr>
        <w:ind w:left="1800" w:hanging="1440"/>
      </w:pPr>
      <w:rPr>
        <w:rFonts w:eastAsiaTheme="majorEastAsia" w:cstheme="majorBidi" w:hint="default"/>
        <w:b/>
        <w:color w:val="C00000"/>
        <w:sz w:val="28"/>
      </w:rPr>
    </w:lvl>
    <w:lvl w:ilvl="7">
      <w:start w:val="1"/>
      <w:numFmt w:val="decimal"/>
      <w:isLgl/>
      <w:lvlText w:val="%1.%2.%3.%4.%5.%6.%7.%8."/>
      <w:lvlJc w:val="left"/>
      <w:pPr>
        <w:ind w:left="1800" w:hanging="1440"/>
      </w:pPr>
      <w:rPr>
        <w:rFonts w:eastAsiaTheme="majorEastAsia" w:cstheme="majorBidi" w:hint="default"/>
        <w:b/>
        <w:color w:val="C00000"/>
        <w:sz w:val="28"/>
      </w:rPr>
    </w:lvl>
    <w:lvl w:ilvl="8">
      <w:start w:val="1"/>
      <w:numFmt w:val="decimal"/>
      <w:isLgl/>
      <w:lvlText w:val="%1.%2.%3.%4.%5.%6.%7.%8.%9."/>
      <w:lvlJc w:val="left"/>
      <w:pPr>
        <w:ind w:left="2160" w:hanging="1800"/>
      </w:pPr>
      <w:rPr>
        <w:rFonts w:eastAsiaTheme="majorEastAsia" w:cstheme="majorBidi" w:hint="default"/>
        <w:b/>
        <w:color w:val="C00000"/>
        <w:sz w:val="28"/>
      </w:rPr>
    </w:lvl>
  </w:abstractNum>
  <w:abstractNum w:abstractNumId="4"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4"/>
  </w:num>
  <w:num w:numId="3" w16cid:durableId="149905896">
    <w:abstractNumId w:val="0"/>
  </w:num>
  <w:num w:numId="4" w16cid:durableId="166792410">
    <w:abstractNumId w:val="2"/>
  </w:num>
  <w:num w:numId="5" w16cid:durableId="78893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30943"/>
    <w:rsid w:val="00045777"/>
    <w:rsid w:val="000545A9"/>
    <w:rsid w:val="00062DEE"/>
    <w:rsid w:val="00075062"/>
    <w:rsid w:val="000826A4"/>
    <w:rsid w:val="00097922"/>
    <w:rsid w:val="000B02CC"/>
    <w:rsid w:val="000D5879"/>
    <w:rsid w:val="000F7086"/>
    <w:rsid w:val="001037EB"/>
    <w:rsid w:val="00105846"/>
    <w:rsid w:val="00135FBD"/>
    <w:rsid w:val="00143655"/>
    <w:rsid w:val="00172740"/>
    <w:rsid w:val="00183498"/>
    <w:rsid w:val="00190E59"/>
    <w:rsid w:val="001972E0"/>
    <w:rsid w:val="001A7939"/>
    <w:rsid w:val="001B1AFB"/>
    <w:rsid w:val="001D4003"/>
    <w:rsid w:val="001D790F"/>
    <w:rsid w:val="001E4D7A"/>
    <w:rsid w:val="00227893"/>
    <w:rsid w:val="00234E76"/>
    <w:rsid w:val="0024138A"/>
    <w:rsid w:val="00250119"/>
    <w:rsid w:val="002B1079"/>
    <w:rsid w:val="002B12B2"/>
    <w:rsid w:val="002D511F"/>
    <w:rsid w:val="00300C69"/>
    <w:rsid w:val="00301866"/>
    <w:rsid w:val="00305BA0"/>
    <w:rsid w:val="003069D2"/>
    <w:rsid w:val="00322115"/>
    <w:rsid w:val="0032342A"/>
    <w:rsid w:val="00334C03"/>
    <w:rsid w:val="00340860"/>
    <w:rsid w:val="003507F7"/>
    <w:rsid w:val="0036302D"/>
    <w:rsid w:val="0036328A"/>
    <w:rsid w:val="00364335"/>
    <w:rsid w:val="003739DF"/>
    <w:rsid w:val="003A4F3F"/>
    <w:rsid w:val="003A5278"/>
    <w:rsid w:val="003B5D81"/>
    <w:rsid w:val="003B6B20"/>
    <w:rsid w:val="003B7039"/>
    <w:rsid w:val="003C5158"/>
    <w:rsid w:val="003C66EF"/>
    <w:rsid w:val="003C6E20"/>
    <w:rsid w:val="003D03AB"/>
    <w:rsid w:val="003F5D99"/>
    <w:rsid w:val="00417F1A"/>
    <w:rsid w:val="004358CF"/>
    <w:rsid w:val="004415FD"/>
    <w:rsid w:val="00444E0D"/>
    <w:rsid w:val="004743EC"/>
    <w:rsid w:val="00474973"/>
    <w:rsid w:val="004A3FCB"/>
    <w:rsid w:val="004A68CB"/>
    <w:rsid w:val="004B773B"/>
    <w:rsid w:val="004D3C42"/>
    <w:rsid w:val="004D68FF"/>
    <w:rsid w:val="004E2BA6"/>
    <w:rsid w:val="005051A3"/>
    <w:rsid w:val="00522640"/>
    <w:rsid w:val="005252E4"/>
    <w:rsid w:val="005315AC"/>
    <w:rsid w:val="00531A6D"/>
    <w:rsid w:val="00532E2E"/>
    <w:rsid w:val="005416BD"/>
    <w:rsid w:val="00543A7A"/>
    <w:rsid w:val="0056307D"/>
    <w:rsid w:val="00566381"/>
    <w:rsid w:val="0059245B"/>
    <w:rsid w:val="00592D37"/>
    <w:rsid w:val="005B33D7"/>
    <w:rsid w:val="005B48CD"/>
    <w:rsid w:val="005C0771"/>
    <w:rsid w:val="005D5341"/>
    <w:rsid w:val="005D5A71"/>
    <w:rsid w:val="00600B5B"/>
    <w:rsid w:val="00607179"/>
    <w:rsid w:val="00617B63"/>
    <w:rsid w:val="00620A18"/>
    <w:rsid w:val="00620DFD"/>
    <w:rsid w:val="0065709F"/>
    <w:rsid w:val="00664CC2"/>
    <w:rsid w:val="00677E20"/>
    <w:rsid w:val="00683886"/>
    <w:rsid w:val="0068490D"/>
    <w:rsid w:val="006A7BC4"/>
    <w:rsid w:val="006C2AEE"/>
    <w:rsid w:val="006C2B00"/>
    <w:rsid w:val="006D1C2D"/>
    <w:rsid w:val="00700600"/>
    <w:rsid w:val="00711014"/>
    <w:rsid w:val="00713B6B"/>
    <w:rsid w:val="007157AE"/>
    <w:rsid w:val="00727620"/>
    <w:rsid w:val="00734297"/>
    <w:rsid w:val="007344D6"/>
    <w:rsid w:val="007353D2"/>
    <w:rsid w:val="00736E35"/>
    <w:rsid w:val="00737D15"/>
    <w:rsid w:val="0074402B"/>
    <w:rsid w:val="007A2BE9"/>
    <w:rsid w:val="007B3846"/>
    <w:rsid w:val="007D2A62"/>
    <w:rsid w:val="007D4B15"/>
    <w:rsid w:val="007D6512"/>
    <w:rsid w:val="007D75E7"/>
    <w:rsid w:val="007E2E1A"/>
    <w:rsid w:val="0080350A"/>
    <w:rsid w:val="00815597"/>
    <w:rsid w:val="00830EF3"/>
    <w:rsid w:val="00846900"/>
    <w:rsid w:val="008650D5"/>
    <w:rsid w:val="008716CB"/>
    <w:rsid w:val="008A1C52"/>
    <w:rsid w:val="008C4FA7"/>
    <w:rsid w:val="008C5196"/>
    <w:rsid w:val="008D603E"/>
    <w:rsid w:val="00901225"/>
    <w:rsid w:val="0091579F"/>
    <w:rsid w:val="00916042"/>
    <w:rsid w:val="00933F3A"/>
    <w:rsid w:val="009531F7"/>
    <w:rsid w:val="00987E6C"/>
    <w:rsid w:val="009A7F25"/>
    <w:rsid w:val="009B2452"/>
    <w:rsid w:val="009B3602"/>
    <w:rsid w:val="009B5326"/>
    <w:rsid w:val="009C2ED2"/>
    <w:rsid w:val="009D18F4"/>
    <w:rsid w:val="009D30A8"/>
    <w:rsid w:val="009D3ADB"/>
    <w:rsid w:val="009D6102"/>
    <w:rsid w:val="009E1E87"/>
    <w:rsid w:val="00A1045D"/>
    <w:rsid w:val="00A1160C"/>
    <w:rsid w:val="00A1599B"/>
    <w:rsid w:val="00A2019D"/>
    <w:rsid w:val="00A4072E"/>
    <w:rsid w:val="00A520EC"/>
    <w:rsid w:val="00A5592D"/>
    <w:rsid w:val="00A57D38"/>
    <w:rsid w:val="00A70B1B"/>
    <w:rsid w:val="00A714E6"/>
    <w:rsid w:val="00A72CF6"/>
    <w:rsid w:val="00AA3833"/>
    <w:rsid w:val="00AB1D99"/>
    <w:rsid w:val="00AC080F"/>
    <w:rsid w:val="00AF70DF"/>
    <w:rsid w:val="00AF759B"/>
    <w:rsid w:val="00B0182E"/>
    <w:rsid w:val="00B071DC"/>
    <w:rsid w:val="00B30E54"/>
    <w:rsid w:val="00B3158D"/>
    <w:rsid w:val="00B33601"/>
    <w:rsid w:val="00B51AF3"/>
    <w:rsid w:val="00B55508"/>
    <w:rsid w:val="00B619BC"/>
    <w:rsid w:val="00B92CAA"/>
    <w:rsid w:val="00BA4036"/>
    <w:rsid w:val="00BC5E0A"/>
    <w:rsid w:val="00BD28A3"/>
    <w:rsid w:val="00BD5638"/>
    <w:rsid w:val="00BD5BF3"/>
    <w:rsid w:val="00BE4889"/>
    <w:rsid w:val="00BE7D40"/>
    <w:rsid w:val="00BF587A"/>
    <w:rsid w:val="00C01BD2"/>
    <w:rsid w:val="00C33BF2"/>
    <w:rsid w:val="00C33EDC"/>
    <w:rsid w:val="00C442BB"/>
    <w:rsid w:val="00C61F00"/>
    <w:rsid w:val="00C66826"/>
    <w:rsid w:val="00C7553E"/>
    <w:rsid w:val="00C842DF"/>
    <w:rsid w:val="00C9654A"/>
    <w:rsid w:val="00C97980"/>
    <w:rsid w:val="00CB7284"/>
    <w:rsid w:val="00CC019A"/>
    <w:rsid w:val="00CC633C"/>
    <w:rsid w:val="00CE4415"/>
    <w:rsid w:val="00D44529"/>
    <w:rsid w:val="00D4602D"/>
    <w:rsid w:val="00D548C8"/>
    <w:rsid w:val="00D715DB"/>
    <w:rsid w:val="00D934AF"/>
    <w:rsid w:val="00DB2438"/>
    <w:rsid w:val="00DB59E2"/>
    <w:rsid w:val="00DE44CE"/>
    <w:rsid w:val="00DF605A"/>
    <w:rsid w:val="00E0184B"/>
    <w:rsid w:val="00E10210"/>
    <w:rsid w:val="00E14B67"/>
    <w:rsid w:val="00E23CAA"/>
    <w:rsid w:val="00E240F1"/>
    <w:rsid w:val="00E31148"/>
    <w:rsid w:val="00E63BA8"/>
    <w:rsid w:val="00E6449D"/>
    <w:rsid w:val="00E67397"/>
    <w:rsid w:val="00E72EA7"/>
    <w:rsid w:val="00E7604E"/>
    <w:rsid w:val="00E924B5"/>
    <w:rsid w:val="00EA565A"/>
    <w:rsid w:val="00EB3D57"/>
    <w:rsid w:val="00EC5830"/>
    <w:rsid w:val="00ED3141"/>
    <w:rsid w:val="00ED7DD3"/>
    <w:rsid w:val="00ED7FAF"/>
    <w:rsid w:val="00EF56BE"/>
    <w:rsid w:val="00EF7520"/>
    <w:rsid w:val="00F07F46"/>
    <w:rsid w:val="00F10465"/>
    <w:rsid w:val="00F1389A"/>
    <w:rsid w:val="00F16101"/>
    <w:rsid w:val="00F27538"/>
    <w:rsid w:val="00F36B16"/>
    <w:rsid w:val="00F51729"/>
    <w:rsid w:val="00F619BB"/>
    <w:rsid w:val="00F67C19"/>
    <w:rsid w:val="00F75D1F"/>
    <w:rsid w:val="00F863C7"/>
    <w:rsid w:val="00FB0AA0"/>
    <w:rsid w:val="00FB75D5"/>
    <w:rsid w:val="00FD3A3D"/>
    <w:rsid w:val="00FD6192"/>
    <w:rsid w:val="00FE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DFD"/>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9"/>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9"/>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notaapidipagina">
    <w:name w:val="footnote text"/>
    <w:aliases w:val="Testo nota a piè di pagina Carattere Carattere Carattere Carattere Carattere Carattere Carattere Carattere Carattere Carattere,Testo nota a piè di pagina Carattere Carattere Carattere,12 pt"/>
    <w:basedOn w:val="Normale"/>
    <w:link w:val="TestonotaapidipaginaCarattere"/>
    <w:uiPriority w:val="99"/>
    <w:unhideWhenUsed/>
    <w:qFormat/>
    <w:rsid w:val="004358CF"/>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Carattere Carattere Carattere Carattere Carattere Carattere Carattere Carattere Carattere Carattere Carattere,Testo nota a piè di pagina Carattere Carattere Carattere Carattere"/>
    <w:basedOn w:val="Carpredefinitoparagrafo"/>
    <w:link w:val="Testonotaapidipagina"/>
    <w:uiPriority w:val="99"/>
    <w:rsid w:val="004358C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SUPERS,Footnote reference number,Footnote symbol,note TESI,-E Fußnotenzeichen,number,BVI fnr,Footnote,Footnote Reference Superscript,(Footnote Reference),EN Footnote Reference,Voetnootverwijzin"/>
    <w:uiPriority w:val="99"/>
    <w:unhideWhenUsed/>
    <w:qFormat/>
    <w:rsid w:val="004358CF"/>
    <w:rPr>
      <w:vertAlign w:val="superscript"/>
    </w:rPr>
  </w:style>
  <w:style w:type="paragraph" w:customStyle="1" w:styleId="Corpodel">
    <w:name w:val="Corpo del"/>
    <w:basedOn w:val="Normale"/>
    <w:uiPriority w:val="99"/>
    <w:rsid w:val="00E6449D"/>
    <w:pPr>
      <w:spacing w:after="120" w:line="260" w:lineRule="atLeast"/>
    </w:pPr>
    <w:rPr>
      <w:rFonts w:ascii="Times New Roman" w:eastAsia="Times New Roman" w:hAnsi="Times New Roman" w:cs="Times New Roman"/>
      <w:b/>
      <w:bCs/>
      <w:sz w:val="20"/>
      <w:szCs w:val="20"/>
      <w:lang w:val="en-GB"/>
    </w:rPr>
  </w:style>
  <w:style w:type="paragraph" w:customStyle="1" w:styleId="TipoDocumento">
    <w:name w:val="Tipo Documento"/>
    <w:basedOn w:val="Normale"/>
    <w:qFormat/>
    <w:rsid w:val="005B33D7"/>
    <w:pPr>
      <w:spacing w:after="200"/>
      <w:jc w:val="both"/>
    </w:pPr>
    <w:rPr>
      <w:rFonts w:asciiTheme="minorHAnsi" w:eastAsiaTheme="minorEastAsia" w:hAnsiTheme="minorHAnsi" w:cs="Times New Roman (Corpo CS)"/>
      <w:b/>
      <w:bCs/>
      <w:caps/>
      <w:color w:val="C00000"/>
      <w:spacing w:val="20"/>
      <w:sz w:val="20"/>
      <w:szCs w:val="21"/>
      <w:lang w:eastAsia="en-US"/>
    </w:rPr>
  </w:style>
  <w:style w:type="paragraph" w:customStyle="1" w:styleId="CVNormal">
    <w:name w:val="CV Normal"/>
    <w:basedOn w:val="Normale"/>
    <w:rsid w:val="003B7039"/>
    <w:pPr>
      <w:suppressAutoHyphens/>
      <w:ind w:left="113" w:right="113"/>
    </w:pPr>
    <w:rPr>
      <w:rFonts w:ascii="Arial Narrow" w:eastAsia="Times New Roman" w:hAnsi="Arial Narro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2026-04-23T09:22:00Z</cp:lastPrinted>
  <dcterms:created xsi:type="dcterms:W3CDTF">2026-04-28T13:21:00Z</dcterms:created>
  <dcterms:modified xsi:type="dcterms:W3CDTF">2026-04-28T13:31:00Z</dcterms:modified>
</cp:coreProperties>
</file>