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F181" w14:textId="77777777" w:rsidR="00E57E76" w:rsidRPr="007629BA" w:rsidRDefault="00E57E76" w:rsidP="00950B3B">
      <w:pPr>
        <w:jc w:val="both"/>
        <w:rPr>
          <w:rFonts w:ascii="Arial" w:hAnsi="Arial" w:cs="Arial"/>
          <w:b/>
          <w:bCs/>
          <w:u w:val="single"/>
        </w:rPr>
      </w:pPr>
    </w:p>
    <w:p w14:paraId="1182451F" w14:textId="067E58D3" w:rsidR="00E30E7A" w:rsidRPr="00837AE4" w:rsidRDefault="009968A0" w:rsidP="00837AE4">
      <w:pPr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837AE4">
        <w:rPr>
          <w:rFonts w:ascii="Arial" w:hAnsi="Arial" w:cs="Arial"/>
          <w:b/>
          <w:bCs/>
          <w:sz w:val="23"/>
          <w:szCs w:val="23"/>
          <w:u w:val="single"/>
        </w:rPr>
        <w:t>Comunicato</w:t>
      </w:r>
      <w:r w:rsidR="00E30E7A" w:rsidRPr="00837AE4">
        <w:rPr>
          <w:rFonts w:ascii="Arial" w:hAnsi="Arial" w:cs="Arial"/>
          <w:b/>
          <w:bCs/>
          <w:sz w:val="23"/>
          <w:szCs w:val="23"/>
          <w:u w:val="single"/>
        </w:rPr>
        <w:t xml:space="preserve"> stampa</w:t>
      </w:r>
    </w:p>
    <w:p w14:paraId="17608E99" w14:textId="77777777" w:rsidR="00FF1DCC" w:rsidRPr="00837AE4" w:rsidRDefault="00FF1DCC" w:rsidP="00837AE4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03147855" w14:textId="54650733" w:rsidR="002B2BE9" w:rsidRPr="00837AE4" w:rsidRDefault="00BE0633" w:rsidP="00837AE4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837AE4">
        <w:rPr>
          <w:rFonts w:ascii="Arial" w:hAnsi="Arial" w:cs="Arial"/>
          <w:b/>
          <w:bCs/>
          <w:sz w:val="23"/>
          <w:szCs w:val="23"/>
        </w:rPr>
        <w:t xml:space="preserve">TUTELA DELLA CLIENTELA BANCARIA, FOCUS DEI COMMERCIALISTI </w:t>
      </w:r>
    </w:p>
    <w:p w14:paraId="593B897A" w14:textId="77777777" w:rsidR="00BE0633" w:rsidRPr="00837AE4" w:rsidRDefault="00BE0633" w:rsidP="00837AE4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1E5CB3FD" w14:textId="376B6F84" w:rsidR="00BE0633" w:rsidRDefault="00BE0633" w:rsidP="00837AE4">
      <w:pPr>
        <w:jc w:val="center"/>
        <w:rPr>
          <w:rFonts w:ascii="Arial" w:eastAsia="Times New Roman" w:hAnsi="Arial" w:cs="Arial"/>
          <w:b/>
          <w:bCs/>
          <w:color w:val="262626" w:themeColor="text1" w:themeTint="D9"/>
          <w:spacing w:val="-2"/>
          <w:sz w:val="23"/>
          <w:szCs w:val="23"/>
        </w:rPr>
      </w:pPr>
      <w:r w:rsidRPr="00837AE4">
        <w:rPr>
          <w:rFonts w:ascii="Arial" w:eastAsia="Times New Roman" w:hAnsi="Arial" w:cs="Arial"/>
          <w:b/>
          <w:bCs/>
          <w:color w:val="262626" w:themeColor="text1" w:themeTint="D9"/>
          <w:spacing w:val="-2"/>
          <w:sz w:val="23"/>
          <w:szCs w:val="23"/>
        </w:rPr>
        <w:t>Documento CNDCEC-FNC su uno dei cardini dell’ordinamento europeo e nazionale in materia di intermediazione. Centrale il ruolo della professione</w:t>
      </w:r>
    </w:p>
    <w:p w14:paraId="66FCC9C3" w14:textId="77777777" w:rsidR="00837AE4" w:rsidRPr="00837AE4" w:rsidRDefault="00837AE4" w:rsidP="00837AE4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1B74A1C6" w14:textId="0AD52432" w:rsidR="009968A0" w:rsidRDefault="00BE0633" w:rsidP="00837AE4">
      <w:pPr>
        <w:jc w:val="both"/>
        <w:rPr>
          <w:rFonts w:ascii="Arial" w:eastAsia="Times New Roman" w:hAnsi="Arial" w:cs="Arial"/>
          <w:color w:val="262626" w:themeColor="text1" w:themeTint="D9"/>
          <w:spacing w:val="-2"/>
          <w:sz w:val="23"/>
          <w:szCs w:val="23"/>
        </w:rPr>
      </w:pPr>
      <w:r w:rsidRPr="00837AE4">
        <w:rPr>
          <w:rFonts w:ascii="Arial" w:eastAsia="Times New Roman" w:hAnsi="Arial" w:cs="Arial"/>
          <w:i/>
          <w:iCs/>
          <w:color w:val="262626" w:themeColor="text1" w:themeTint="D9"/>
          <w:spacing w:val="-2"/>
          <w:sz w:val="23"/>
          <w:szCs w:val="23"/>
        </w:rPr>
        <w:t>Roma, 27 aprile 2026 -</w:t>
      </w:r>
      <w:r w:rsidRPr="00837AE4">
        <w:rPr>
          <w:rFonts w:ascii="Arial" w:eastAsia="Times New Roman" w:hAnsi="Arial" w:cs="Arial"/>
          <w:color w:val="262626" w:themeColor="text1" w:themeTint="D9"/>
          <w:spacing w:val="-2"/>
          <w:sz w:val="23"/>
          <w:szCs w:val="23"/>
        </w:rPr>
        <w:t xml:space="preserve"> </w:t>
      </w:r>
      <w:r w:rsidR="009968A0" w:rsidRPr="00837AE4">
        <w:rPr>
          <w:rFonts w:ascii="Arial" w:eastAsia="Times New Roman" w:hAnsi="Arial" w:cs="Arial"/>
          <w:color w:val="262626" w:themeColor="text1" w:themeTint="D9"/>
          <w:spacing w:val="-2"/>
          <w:sz w:val="23"/>
          <w:szCs w:val="23"/>
        </w:rPr>
        <w:t>“</w:t>
      </w:r>
      <w:r w:rsidR="009968A0" w:rsidRPr="00837AE4">
        <w:rPr>
          <w:rFonts w:ascii="Arial" w:eastAsia="Times New Roman" w:hAnsi="Arial" w:cs="Arial"/>
          <w:b/>
          <w:bCs/>
          <w:color w:val="262626" w:themeColor="text1" w:themeTint="D9"/>
          <w:spacing w:val="-2"/>
          <w:sz w:val="23"/>
          <w:szCs w:val="23"/>
        </w:rPr>
        <w:t>Tutela della clientela bancaria e finanziaria. Strumenti di tutela, vantaggi per le imprese e impatti sul mercato del credito. Focus sull’arbitro bancario finanziario (ABF)”</w:t>
      </w:r>
      <w:r w:rsidR="009968A0" w:rsidRPr="00837AE4">
        <w:rPr>
          <w:rFonts w:ascii="Arial" w:eastAsia="Times New Roman" w:hAnsi="Arial" w:cs="Arial"/>
          <w:color w:val="262626" w:themeColor="text1" w:themeTint="D9"/>
          <w:spacing w:val="-2"/>
          <w:sz w:val="23"/>
          <w:szCs w:val="23"/>
        </w:rPr>
        <w:t xml:space="preserve"> è il titolo di un documento pubblicato oggi dal Consiglio e dalla Fondazione nazionali dei commercialisti nell’ambito dell’attività dell’area Finanza aziendale alla quale è delegato il Vicepresidente nazionale della categoria </w:t>
      </w:r>
      <w:r w:rsidR="009968A0" w:rsidRPr="00837AE4">
        <w:rPr>
          <w:rFonts w:ascii="Arial" w:eastAsia="Times New Roman" w:hAnsi="Arial" w:cs="Arial"/>
          <w:b/>
          <w:bCs/>
          <w:color w:val="262626" w:themeColor="text1" w:themeTint="D9"/>
          <w:spacing w:val="-2"/>
          <w:sz w:val="23"/>
          <w:szCs w:val="23"/>
        </w:rPr>
        <w:t>Antonio Repaci</w:t>
      </w:r>
      <w:r w:rsidR="009968A0" w:rsidRPr="00837AE4">
        <w:rPr>
          <w:rFonts w:ascii="Arial" w:eastAsia="Times New Roman" w:hAnsi="Arial" w:cs="Arial"/>
          <w:color w:val="262626" w:themeColor="text1" w:themeTint="D9"/>
          <w:spacing w:val="-2"/>
          <w:sz w:val="23"/>
          <w:szCs w:val="23"/>
        </w:rPr>
        <w:t>.</w:t>
      </w:r>
    </w:p>
    <w:p w14:paraId="2A60AE3C" w14:textId="77777777" w:rsidR="00837AE4" w:rsidRPr="00837AE4" w:rsidRDefault="00837AE4" w:rsidP="00837AE4">
      <w:pPr>
        <w:jc w:val="both"/>
        <w:rPr>
          <w:rFonts w:ascii="Arial" w:eastAsia="Times New Roman" w:hAnsi="Arial" w:cs="Arial"/>
          <w:color w:val="262626" w:themeColor="text1" w:themeTint="D9"/>
          <w:spacing w:val="-2"/>
          <w:sz w:val="23"/>
          <w:szCs w:val="23"/>
        </w:rPr>
      </w:pPr>
    </w:p>
    <w:p w14:paraId="2DA93848" w14:textId="5A08F3DC" w:rsidR="00BE0633" w:rsidRDefault="009968A0" w:rsidP="00837AE4">
      <w:pPr>
        <w:jc w:val="both"/>
        <w:rPr>
          <w:rFonts w:ascii="Arial" w:eastAsia="Times New Roman" w:hAnsi="Arial" w:cs="Arial"/>
          <w:color w:val="262626" w:themeColor="text1" w:themeTint="D9"/>
          <w:spacing w:val="-2"/>
          <w:sz w:val="23"/>
          <w:szCs w:val="23"/>
        </w:rPr>
      </w:pPr>
      <w:r w:rsidRPr="00837AE4">
        <w:rPr>
          <w:rFonts w:ascii="Arial" w:eastAsia="Times New Roman" w:hAnsi="Arial" w:cs="Arial"/>
          <w:color w:val="262626" w:themeColor="text1" w:themeTint="D9"/>
          <w:spacing w:val="-2"/>
          <w:sz w:val="23"/>
          <w:szCs w:val="23"/>
        </w:rPr>
        <w:t xml:space="preserve">La tutela della clientela bancaria e finanziaria costituisce oggi uno dei cardini dell’ordinamento europeo e nazionale in materia di </w:t>
      </w:r>
      <w:r w:rsidRPr="00837AE4">
        <w:rPr>
          <w:rFonts w:ascii="Arial" w:eastAsia="Times New Roman" w:hAnsi="Arial" w:cs="Arial"/>
          <w:b/>
          <w:bCs/>
          <w:color w:val="262626" w:themeColor="text1" w:themeTint="D9"/>
          <w:spacing w:val="-2"/>
          <w:sz w:val="23"/>
          <w:szCs w:val="23"/>
        </w:rPr>
        <w:t>intermediazione</w:t>
      </w:r>
      <w:r w:rsidRPr="00837AE4">
        <w:rPr>
          <w:rFonts w:ascii="Arial" w:eastAsia="Times New Roman" w:hAnsi="Arial" w:cs="Arial"/>
          <w:color w:val="262626" w:themeColor="text1" w:themeTint="D9"/>
          <w:spacing w:val="-2"/>
          <w:sz w:val="23"/>
          <w:szCs w:val="23"/>
        </w:rPr>
        <w:t xml:space="preserve">. La crescente </w:t>
      </w:r>
      <w:r w:rsidRPr="00837AE4">
        <w:rPr>
          <w:rFonts w:ascii="Arial" w:eastAsia="Times New Roman" w:hAnsi="Arial" w:cs="Arial"/>
          <w:b/>
          <w:bCs/>
          <w:color w:val="262626" w:themeColor="text1" w:themeTint="D9"/>
          <w:spacing w:val="-2"/>
          <w:sz w:val="23"/>
          <w:szCs w:val="23"/>
        </w:rPr>
        <w:t>complessità tecnica</w:t>
      </w:r>
      <w:r w:rsidRPr="00837AE4">
        <w:rPr>
          <w:rFonts w:ascii="Arial" w:eastAsia="Times New Roman" w:hAnsi="Arial" w:cs="Arial"/>
          <w:color w:val="262626" w:themeColor="text1" w:themeTint="D9"/>
          <w:spacing w:val="-2"/>
          <w:sz w:val="23"/>
          <w:szCs w:val="23"/>
        </w:rPr>
        <w:t>, l’</w:t>
      </w:r>
      <w:r w:rsidRPr="00837AE4">
        <w:rPr>
          <w:rFonts w:ascii="Arial" w:eastAsia="Times New Roman" w:hAnsi="Arial" w:cs="Arial"/>
          <w:b/>
          <w:bCs/>
          <w:color w:val="262626" w:themeColor="text1" w:themeTint="D9"/>
          <w:spacing w:val="-2"/>
          <w:sz w:val="23"/>
          <w:szCs w:val="23"/>
        </w:rPr>
        <w:t xml:space="preserve">innovazione digitale </w:t>
      </w:r>
      <w:r w:rsidRPr="00837AE4">
        <w:rPr>
          <w:rFonts w:ascii="Arial" w:eastAsia="Times New Roman" w:hAnsi="Arial" w:cs="Arial"/>
          <w:color w:val="262626" w:themeColor="text1" w:themeTint="D9"/>
          <w:spacing w:val="-2"/>
          <w:sz w:val="23"/>
          <w:szCs w:val="23"/>
        </w:rPr>
        <w:t xml:space="preserve">e la proliferazione di </w:t>
      </w:r>
      <w:r w:rsidRPr="00837AE4">
        <w:rPr>
          <w:rFonts w:ascii="Arial" w:eastAsia="Times New Roman" w:hAnsi="Arial" w:cs="Arial"/>
          <w:b/>
          <w:bCs/>
          <w:color w:val="262626" w:themeColor="text1" w:themeTint="D9"/>
          <w:spacing w:val="-2"/>
          <w:sz w:val="23"/>
          <w:szCs w:val="23"/>
        </w:rPr>
        <w:t>prodotti finanziari</w:t>
      </w:r>
      <w:r w:rsidRPr="00837AE4">
        <w:rPr>
          <w:rFonts w:ascii="Arial" w:eastAsia="Times New Roman" w:hAnsi="Arial" w:cs="Arial"/>
          <w:color w:val="262626" w:themeColor="text1" w:themeTint="D9"/>
          <w:spacing w:val="-2"/>
          <w:sz w:val="23"/>
          <w:szCs w:val="23"/>
        </w:rPr>
        <w:t xml:space="preserve"> a elevato contenuto informativo hanno progressivamente contribuito a costruire un sistema multilivello di regole volto a ridurre l’</w:t>
      </w:r>
      <w:r w:rsidRPr="00837AE4">
        <w:rPr>
          <w:rFonts w:ascii="Arial" w:eastAsia="Times New Roman" w:hAnsi="Arial" w:cs="Arial"/>
          <w:b/>
          <w:bCs/>
          <w:color w:val="262626" w:themeColor="text1" w:themeTint="D9"/>
          <w:spacing w:val="-2"/>
          <w:sz w:val="23"/>
          <w:szCs w:val="23"/>
        </w:rPr>
        <w:t>asimmetria informativa</w:t>
      </w:r>
      <w:r w:rsidRPr="00837AE4">
        <w:rPr>
          <w:rFonts w:ascii="Arial" w:eastAsia="Times New Roman" w:hAnsi="Arial" w:cs="Arial"/>
          <w:color w:val="262626" w:themeColor="text1" w:themeTint="D9"/>
          <w:spacing w:val="-2"/>
          <w:sz w:val="23"/>
          <w:szCs w:val="23"/>
        </w:rPr>
        <w:t xml:space="preserve"> tra intermediari e clienti. L’evoluzione normativa ha segnato infatti il passaggio da un modello basato sulla mera trasparenza informativa a un paradigma più articolato, fondato su </w:t>
      </w:r>
      <w:r w:rsidRPr="00837AE4">
        <w:rPr>
          <w:rFonts w:ascii="Arial" w:eastAsia="Times New Roman" w:hAnsi="Arial" w:cs="Arial"/>
          <w:b/>
          <w:bCs/>
          <w:color w:val="262626" w:themeColor="text1" w:themeTint="D9"/>
          <w:spacing w:val="-2"/>
          <w:sz w:val="23"/>
          <w:szCs w:val="23"/>
        </w:rPr>
        <w:t>obblighi di correttezza, diligenza e professionalità</w:t>
      </w:r>
      <w:r w:rsidRPr="00837AE4">
        <w:rPr>
          <w:rFonts w:ascii="Arial" w:eastAsia="Times New Roman" w:hAnsi="Arial" w:cs="Arial"/>
          <w:color w:val="262626" w:themeColor="text1" w:themeTint="D9"/>
          <w:spacing w:val="-2"/>
          <w:sz w:val="23"/>
          <w:szCs w:val="23"/>
        </w:rPr>
        <w:t>, oltre che di valutazione dell’</w:t>
      </w:r>
      <w:r w:rsidRPr="00837AE4">
        <w:rPr>
          <w:rFonts w:ascii="Arial" w:eastAsia="Times New Roman" w:hAnsi="Arial" w:cs="Arial"/>
          <w:b/>
          <w:bCs/>
          <w:color w:val="262626" w:themeColor="text1" w:themeTint="D9"/>
          <w:spacing w:val="-2"/>
          <w:sz w:val="23"/>
          <w:szCs w:val="23"/>
        </w:rPr>
        <w:t xml:space="preserve">adeguatezza e appropriatezza delle operazioni, gestione dei conflitti di interesse e responsabilità nella </w:t>
      </w:r>
      <w:r w:rsidRPr="00837AE4">
        <w:rPr>
          <w:rFonts w:ascii="Arial" w:eastAsia="Times New Roman" w:hAnsi="Arial" w:cs="Arial"/>
          <w:b/>
          <w:bCs/>
          <w:i/>
          <w:iCs/>
          <w:color w:val="262626" w:themeColor="text1" w:themeTint="D9"/>
          <w:spacing w:val="-2"/>
          <w:sz w:val="23"/>
          <w:szCs w:val="23"/>
        </w:rPr>
        <w:t>product governance</w:t>
      </w:r>
      <w:r w:rsidRPr="00837AE4">
        <w:rPr>
          <w:rFonts w:ascii="Arial" w:eastAsia="Times New Roman" w:hAnsi="Arial" w:cs="Arial"/>
          <w:b/>
          <w:bCs/>
          <w:color w:val="262626" w:themeColor="text1" w:themeTint="D9"/>
          <w:spacing w:val="-2"/>
          <w:sz w:val="23"/>
          <w:szCs w:val="23"/>
        </w:rPr>
        <w:t>.</w:t>
      </w:r>
    </w:p>
    <w:p w14:paraId="63004E77" w14:textId="77777777" w:rsidR="00837AE4" w:rsidRPr="00837AE4" w:rsidRDefault="00837AE4" w:rsidP="00837AE4">
      <w:pPr>
        <w:jc w:val="both"/>
        <w:rPr>
          <w:rFonts w:ascii="Arial" w:eastAsia="Times New Roman" w:hAnsi="Arial" w:cs="Arial"/>
          <w:color w:val="262626" w:themeColor="text1" w:themeTint="D9"/>
          <w:spacing w:val="-2"/>
          <w:sz w:val="23"/>
          <w:szCs w:val="23"/>
        </w:rPr>
      </w:pPr>
    </w:p>
    <w:p w14:paraId="61F04986" w14:textId="1DCF1209" w:rsidR="009968A0" w:rsidRDefault="009968A0" w:rsidP="00837AE4">
      <w:pPr>
        <w:jc w:val="both"/>
        <w:rPr>
          <w:rFonts w:ascii="Arial" w:eastAsia="Times New Roman" w:hAnsi="Arial" w:cs="Arial"/>
          <w:color w:val="262626" w:themeColor="text1" w:themeTint="D9"/>
          <w:spacing w:val="-2"/>
          <w:sz w:val="23"/>
          <w:szCs w:val="23"/>
        </w:rPr>
      </w:pPr>
      <w:r w:rsidRPr="00837AE4">
        <w:rPr>
          <w:rFonts w:ascii="Arial" w:eastAsia="Times New Roman" w:hAnsi="Arial" w:cs="Arial"/>
          <w:color w:val="262626" w:themeColor="text1" w:themeTint="D9"/>
          <w:spacing w:val="-2"/>
          <w:sz w:val="23"/>
          <w:szCs w:val="23"/>
        </w:rPr>
        <w:t xml:space="preserve">L’obiettivo dei regolatori è quello di rendere sempre più comprensibili i prodotti finanziari e più efficace la protezione degli investitori retail. In tale contesto, le autorità di vigilanza come </w:t>
      </w:r>
      <w:r w:rsidRPr="00837AE4">
        <w:rPr>
          <w:rFonts w:ascii="Arial" w:eastAsia="Times New Roman" w:hAnsi="Arial" w:cs="Arial"/>
          <w:b/>
          <w:bCs/>
          <w:color w:val="262626" w:themeColor="text1" w:themeTint="D9"/>
          <w:spacing w:val="-2"/>
          <w:sz w:val="23"/>
          <w:szCs w:val="23"/>
        </w:rPr>
        <w:t>Banca d’Italia, Consob, EBA, ESMA</w:t>
      </w:r>
      <w:r w:rsidRPr="00837AE4">
        <w:rPr>
          <w:rFonts w:ascii="Arial" w:eastAsia="Times New Roman" w:hAnsi="Arial" w:cs="Arial"/>
          <w:color w:val="262626" w:themeColor="text1" w:themeTint="D9"/>
          <w:spacing w:val="-2"/>
          <w:sz w:val="23"/>
          <w:szCs w:val="23"/>
        </w:rPr>
        <w:t xml:space="preserve"> svolgono un ruolo essenziale nel presidiare tali regole, attraverso linee guida e regolamenti che contribuiscono a uniformare le prassi di mercato. Accanto al quadro regolamentare, la disciplina moderna riconosce altresì la rilevanza delle dinamiche comportamentali dei clienti, spesso influenzati da </w:t>
      </w:r>
      <w:proofErr w:type="spellStart"/>
      <w:r w:rsidRPr="00837AE4">
        <w:rPr>
          <w:rFonts w:ascii="Arial" w:eastAsia="Times New Roman" w:hAnsi="Arial" w:cs="Arial"/>
          <w:i/>
          <w:iCs/>
          <w:color w:val="262626" w:themeColor="text1" w:themeTint="D9"/>
          <w:spacing w:val="-2"/>
          <w:sz w:val="23"/>
          <w:szCs w:val="23"/>
        </w:rPr>
        <w:t>bias</w:t>
      </w:r>
      <w:proofErr w:type="spellEnd"/>
      <w:r w:rsidRPr="00837AE4">
        <w:rPr>
          <w:rFonts w:ascii="Arial" w:eastAsia="Times New Roman" w:hAnsi="Arial" w:cs="Arial"/>
          <w:color w:val="262626" w:themeColor="text1" w:themeTint="D9"/>
          <w:spacing w:val="-2"/>
          <w:sz w:val="23"/>
          <w:szCs w:val="23"/>
        </w:rPr>
        <w:t xml:space="preserve"> cognitivi e limiti di razionalità.</w:t>
      </w:r>
    </w:p>
    <w:p w14:paraId="3C216118" w14:textId="77777777" w:rsidR="00837AE4" w:rsidRPr="00837AE4" w:rsidRDefault="00837AE4" w:rsidP="00837AE4">
      <w:pPr>
        <w:jc w:val="both"/>
        <w:rPr>
          <w:rFonts w:ascii="Arial" w:eastAsia="Times New Roman" w:hAnsi="Arial" w:cs="Arial"/>
          <w:color w:val="262626" w:themeColor="text1" w:themeTint="D9"/>
          <w:spacing w:val="-2"/>
          <w:sz w:val="23"/>
          <w:szCs w:val="23"/>
        </w:rPr>
      </w:pPr>
    </w:p>
    <w:p w14:paraId="5A4171CB" w14:textId="1570A804" w:rsidR="009968A0" w:rsidRDefault="009968A0" w:rsidP="00837AE4">
      <w:pPr>
        <w:jc w:val="both"/>
        <w:rPr>
          <w:rFonts w:ascii="Arial" w:eastAsia="Times New Roman" w:hAnsi="Arial" w:cs="Arial"/>
          <w:color w:val="262626" w:themeColor="text1" w:themeTint="D9"/>
          <w:spacing w:val="-4"/>
          <w:sz w:val="23"/>
          <w:szCs w:val="23"/>
        </w:rPr>
      </w:pPr>
      <w:r w:rsidRPr="00837AE4">
        <w:rPr>
          <w:rFonts w:ascii="Arial" w:eastAsia="Times New Roman" w:hAnsi="Arial" w:cs="Arial"/>
          <w:color w:val="262626" w:themeColor="text1" w:themeTint="D9"/>
          <w:spacing w:val="-4"/>
          <w:sz w:val="23"/>
          <w:szCs w:val="23"/>
        </w:rPr>
        <w:t>La digitalizzazione dei servizi finanziari introduce nuove opportunità</w:t>
      </w:r>
      <w:r w:rsidR="00931627">
        <w:rPr>
          <w:rFonts w:ascii="Arial" w:eastAsia="Times New Roman" w:hAnsi="Arial" w:cs="Arial"/>
          <w:color w:val="262626" w:themeColor="text1" w:themeTint="D9"/>
          <w:spacing w:val="-4"/>
          <w:sz w:val="23"/>
          <w:szCs w:val="23"/>
        </w:rPr>
        <w:t>,</w:t>
      </w:r>
      <w:r w:rsidRPr="00837AE4">
        <w:rPr>
          <w:rFonts w:ascii="Arial" w:eastAsia="Times New Roman" w:hAnsi="Arial" w:cs="Arial"/>
          <w:color w:val="262626" w:themeColor="text1" w:themeTint="D9"/>
          <w:spacing w:val="-4"/>
          <w:sz w:val="23"/>
          <w:szCs w:val="23"/>
        </w:rPr>
        <w:t xml:space="preserve"> ma anche </w:t>
      </w:r>
      <w:r w:rsidRPr="00837AE4">
        <w:rPr>
          <w:rFonts w:ascii="Arial" w:eastAsia="Times New Roman" w:hAnsi="Arial" w:cs="Arial"/>
          <w:b/>
          <w:bCs/>
          <w:color w:val="262626" w:themeColor="text1" w:themeTint="D9"/>
          <w:spacing w:val="-4"/>
          <w:sz w:val="23"/>
          <w:szCs w:val="23"/>
        </w:rPr>
        <w:t>vulnerabilità,</w:t>
      </w:r>
      <w:r w:rsidRPr="00837AE4">
        <w:rPr>
          <w:rFonts w:ascii="Arial" w:eastAsia="Times New Roman" w:hAnsi="Arial" w:cs="Arial"/>
          <w:color w:val="262626" w:themeColor="text1" w:themeTint="D9"/>
          <w:spacing w:val="-4"/>
          <w:sz w:val="23"/>
          <w:szCs w:val="23"/>
        </w:rPr>
        <w:t xml:space="preserve"> richiedendo ulteriori presidi di tutela, come quelli previsti dal Regolamento (UE) 2016/679 (GDPR) e dalle norme sull’autenticazione forte del cliente (</w:t>
      </w:r>
      <w:r w:rsidRPr="00837AE4">
        <w:rPr>
          <w:rFonts w:ascii="Arial" w:eastAsia="Times New Roman" w:hAnsi="Arial" w:cs="Arial"/>
          <w:i/>
          <w:iCs/>
          <w:color w:val="262626" w:themeColor="text1" w:themeTint="D9"/>
          <w:spacing w:val="-4"/>
          <w:sz w:val="23"/>
          <w:szCs w:val="23"/>
        </w:rPr>
        <w:t xml:space="preserve">strong customer authentication - </w:t>
      </w:r>
      <w:r w:rsidRPr="00837AE4">
        <w:rPr>
          <w:rFonts w:ascii="Arial" w:eastAsia="Times New Roman" w:hAnsi="Arial" w:cs="Arial"/>
          <w:color w:val="262626" w:themeColor="text1" w:themeTint="D9"/>
          <w:spacing w:val="-4"/>
          <w:sz w:val="23"/>
          <w:szCs w:val="23"/>
        </w:rPr>
        <w:t xml:space="preserve">SCA). La tutela della clientela bancaria e finanziaria, insieme alla crescente diffusione degli strumenti di risoluzione stragiudiziale delle controversie, sta assumendo un </w:t>
      </w:r>
      <w:r w:rsidRPr="00837AE4">
        <w:rPr>
          <w:rFonts w:ascii="Arial" w:eastAsia="Times New Roman" w:hAnsi="Arial" w:cs="Arial"/>
          <w:b/>
          <w:bCs/>
          <w:color w:val="262626" w:themeColor="text1" w:themeTint="D9"/>
          <w:spacing w:val="-4"/>
          <w:sz w:val="23"/>
          <w:szCs w:val="23"/>
        </w:rPr>
        <w:t xml:space="preserve">ruolo di grande importanza nell’attività di professionisti </w:t>
      </w:r>
      <w:r w:rsidRPr="00837AE4">
        <w:rPr>
          <w:rFonts w:ascii="Arial" w:eastAsia="Times New Roman" w:hAnsi="Arial" w:cs="Arial"/>
          <w:color w:val="262626" w:themeColor="text1" w:themeTint="D9"/>
          <w:spacing w:val="-4"/>
          <w:sz w:val="23"/>
          <w:szCs w:val="23"/>
        </w:rPr>
        <w:t xml:space="preserve">con specifiche competenze in </w:t>
      </w:r>
      <w:r w:rsidRPr="00837AE4">
        <w:rPr>
          <w:rFonts w:ascii="Arial" w:eastAsia="Times New Roman" w:hAnsi="Arial" w:cs="Arial"/>
          <w:b/>
          <w:bCs/>
          <w:color w:val="262626" w:themeColor="text1" w:themeTint="D9"/>
          <w:spacing w:val="-4"/>
          <w:sz w:val="23"/>
          <w:szCs w:val="23"/>
        </w:rPr>
        <w:t>materia economico-aziendale</w:t>
      </w:r>
      <w:r w:rsidRPr="00837AE4">
        <w:rPr>
          <w:rFonts w:ascii="Arial" w:eastAsia="Times New Roman" w:hAnsi="Arial" w:cs="Arial"/>
          <w:color w:val="262626" w:themeColor="text1" w:themeTint="D9"/>
          <w:spacing w:val="-4"/>
          <w:sz w:val="23"/>
          <w:szCs w:val="23"/>
        </w:rPr>
        <w:t xml:space="preserve">. Nell’ambito della consulenza ordinaria, infatti, il </w:t>
      </w:r>
      <w:r w:rsidRPr="00837AE4">
        <w:rPr>
          <w:rFonts w:ascii="Arial" w:eastAsia="Times New Roman" w:hAnsi="Arial" w:cs="Arial"/>
          <w:b/>
          <w:bCs/>
          <w:color w:val="262626" w:themeColor="text1" w:themeTint="D9"/>
          <w:spacing w:val="-4"/>
          <w:sz w:val="23"/>
          <w:szCs w:val="23"/>
        </w:rPr>
        <w:t>commercialista</w:t>
      </w:r>
      <w:r w:rsidRPr="00837AE4">
        <w:rPr>
          <w:rFonts w:ascii="Arial" w:eastAsia="Times New Roman" w:hAnsi="Arial" w:cs="Arial"/>
          <w:color w:val="262626" w:themeColor="text1" w:themeTint="D9"/>
          <w:spacing w:val="-4"/>
          <w:sz w:val="23"/>
          <w:szCs w:val="23"/>
        </w:rPr>
        <w:t xml:space="preserve"> rappresenta sempre più spesso il </w:t>
      </w:r>
      <w:r w:rsidRPr="00837AE4">
        <w:rPr>
          <w:rFonts w:ascii="Arial" w:eastAsia="Times New Roman" w:hAnsi="Arial" w:cs="Arial"/>
          <w:b/>
          <w:bCs/>
          <w:color w:val="262626" w:themeColor="text1" w:themeTint="D9"/>
          <w:spacing w:val="-4"/>
          <w:sz w:val="23"/>
          <w:szCs w:val="23"/>
        </w:rPr>
        <w:t>primo punto di riferimento per consumatori e imprese</w:t>
      </w:r>
      <w:r w:rsidRPr="00837AE4">
        <w:rPr>
          <w:rFonts w:ascii="Arial" w:eastAsia="Times New Roman" w:hAnsi="Arial" w:cs="Arial"/>
          <w:color w:val="262626" w:themeColor="text1" w:themeTint="D9"/>
          <w:spacing w:val="-4"/>
          <w:sz w:val="23"/>
          <w:szCs w:val="23"/>
        </w:rPr>
        <w:t xml:space="preserve"> chiamati a gestire rapporti bancari e finanziari caratterizzati da un’elevata complessità.</w:t>
      </w:r>
    </w:p>
    <w:p w14:paraId="17533B3B" w14:textId="77777777" w:rsidR="00837AE4" w:rsidRPr="00837AE4" w:rsidRDefault="00837AE4" w:rsidP="00837AE4">
      <w:pPr>
        <w:jc w:val="both"/>
        <w:rPr>
          <w:rFonts w:ascii="Arial" w:eastAsia="Times New Roman" w:hAnsi="Arial" w:cs="Arial"/>
          <w:color w:val="262626" w:themeColor="text1" w:themeTint="D9"/>
          <w:spacing w:val="-4"/>
          <w:sz w:val="23"/>
          <w:szCs w:val="23"/>
        </w:rPr>
      </w:pPr>
    </w:p>
    <w:p w14:paraId="708901B9" w14:textId="393355F9" w:rsidR="00837AE4" w:rsidRDefault="00BE0633" w:rsidP="00837AE4">
      <w:pPr>
        <w:jc w:val="both"/>
        <w:rPr>
          <w:rFonts w:ascii="Arial" w:eastAsia="Times New Roman" w:hAnsi="Arial" w:cs="Arial"/>
          <w:color w:val="262626" w:themeColor="text1" w:themeTint="D9"/>
          <w:sz w:val="23"/>
          <w:szCs w:val="23"/>
        </w:rPr>
      </w:pPr>
      <w:r w:rsidRPr="00837AE4">
        <w:rPr>
          <w:rFonts w:ascii="Arial" w:eastAsia="Times New Roman" w:hAnsi="Arial" w:cs="Arial"/>
          <w:color w:val="262626" w:themeColor="text1" w:themeTint="D9"/>
          <w:sz w:val="23"/>
          <w:szCs w:val="23"/>
        </w:rPr>
        <w:t>Il</w:t>
      </w:r>
      <w:r w:rsidR="009968A0" w:rsidRPr="00837AE4">
        <w:rPr>
          <w:rFonts w:ascii="Arial" w:eastAsia="Times New Roman" w:hAnsi="Arial" w:cs="Arial"/>
          <w:color w:val="262626" w:themeColor="text1" w:themeTint="D9"/>
          <w:sz w:val="23"/>
          <w:szCs w:val="23"/>
        </w:rPr>
        <w:t xml:space="preserve"> commercialista non è più soltanto un tecnico degli aspetti contabili e fiscali, in quanto rappresenta oggi un vero e proprio </w:t>
      </w:r>
      <w:r w:rsidR="009968A0" w:rsidRPr="00837AE4">
        <w:rPr>
          <w:rFonts w:ascii="Arial" w:eastAsia="Times New Roman" w:hAnsi="Arial" w:cs="Arial"/>
          <w:b/>
          <w:bCs/>
          <w:color w:val="262626" w:themeColor="text1" w:themeTint="D9"/>
          <w:sz w:val="23"/>
          <w:szCs w:val="23"/>
        </w:rPr>
        <w:t>consulente strategico</w:t>
      </w:r>
      <w:r w:rsidR="00931627">
        <w:rPr>
          <w:rFonts w:ascii="Arial" w:eastAsia="Times New Roman" w:hAnsi="Arial" w:cs="Arial"/>
          <w:color w:val="262626" w:themeColor="text1" w:themeTint="D9"/>
          <w:sz w:val="23"/>
          <w:szCs w:val="23"/>
        </w:rPr>
        <w:t xml:space="preserve">, che </w:t>
      </w:r>
      <w:r w:rsidR="009968A0" w:rsidRPr="00837AE4">
        <w:rPr>
          <w:rFonts w:ascii="Arial" w:eastAsia="Times New Roman" w:hAnsi="Arial" w:cs="Arial"/>
          <w:color w:val="262626" w:themeColor="text1" w:themeTint="D9"/>
          <w:spacing w:val="-4"/>
          <w:sz w:val="23"/>
          <w:szCs w:val="23"/>
        </w:rPr>
        <w:t xml:space="preserve">svolge un ruolo di presidio nei rapporti tra banca e impresa e tra banca e consumatore. </w:t>
      </w:r>
      <w:r w:rsidR="009968A0" w:rsidRPr="00837AE4">
        <w:rPr>
          <w:rFonts w:ascii="Arial" w:eastAsia="Times New Roman" w:hAnsi="Arial" w:cs="Arial"/>
          <w:color w:val="262626" w:themeColor="text1" w:themeTint="D9"/>
          <w:sz w:val="23"/>
          <w:szCs w:val="23"/>
        </w:rPr>
        <w:t xml:space="preserve">A ciò si aggiunge la necessità di possedere competenze tecniche specifiche: la gestione dei </w:t>
      </w:r>
      <w:r w:rsidR="009968A0" w:rsidRPr="00837AE4">
        <w:rPr>
          <w:rFonts w:ascii="Arial" w:eastAsia="Times New Roman" w:hAnsi="Arial" w:cs="Arial"/>
          <w:b/>
          <w:bCs/>
          <w:color w:val="262626" w:themeColor="text1" w:themeTint="D9"/>
          <w:sz w:val="23"/>
          <w:szCs w:val="23"/>
        </w:rPr>
        <w:t>reclami</w:t>
      </w:r>
      <w:r w:rsidR="009968A0" w:rsidRPr="00837AE4">
        <w:rPr>
          <w:rFonts w:ascii="Arial" w:eastAsia="Times New Roman" w:hAnsi="Arial" w:cs="Arial"/>
          <w:color w:val="262626" w:themeColor="text1" w:themeTint="D9"/>
          <w:sz w:val="23"/>
          <w:szCs w:val="23"/>
        </w:rPr>
        <w:t xml:space="preserve">, la predisposizione di eventuali </w:t>
      </w:r>
      <w:r w:rsidR="009968A0" w:rsidRPr="00837AE4">
        <w:rPr>
          <w:rFonts w:ascii="Arial" w:eastAsia="Times New Roman" w:hAnsi="Arial" w:cs="Arial"/>
          <w:b/>
          <w:bCs/>
          <w:color w:val="262626" w:themeColor="text1" w:themeTint="D9"/>
          <w:sz w:val="23"/>
          <w:szCs w:val="23"/>
        </w:rPr>
        <w:t>ricorsi all’ABF (Arbitro Bancario Finanziario)</w:t>
      </w:r>
      <w:r w:rsidR="009968A0" w:rsidRPr="00931627">
        <w:rPr>
          <w:rFonts w:ascii="Arial" w:eastAsia="Times New Roman" w:hAnsi="Arial" w:cs="Arial"/>
          <w:color w:val="262626" w:themeColor="text1" w:themeTint="D9"/>
          <w:sz w:val="23"/>
          <w:szCs w:val="23"/>
        </w:rPr>
        <w:t>,</w:t>
      </w:r>
      <w:r w:rsidR="009968A0" w:rsidRPr="00837AE4">
        <w:rPr>
          <w:rFonts w:ascii="Arial" w:eastAsia="Times New Roman" w:hAnsi="Arial" w:cs="Arial"/>
          <w:color w:val="262626" w:themeColor="text1" w:themeTint="D9"/>
          <w:sz w:val="23"/>
          <w:szCs w:val="23"/>
        </w:rPr>
        <w:t xml:space="preserve"> l’analisi dei rapporti bancari e la valutazione di fenomeni quali </w:t>
      </w:r>
      <w:r w:rsidR="009968A0" w:rsidRPr="00837AE4">
        <w:rPr>
          <w:rFonts w:ascii="Arial" w:eastAsia="Times New Roman" w:hAnsi="Arial" w:cs="Arial"/>
          <w:b/>
          <w:bCs/>
          <w:color w:val="262626" w:themeColor="text1" w:themeTint="D9"/>
          <w:sz w:val="23"/>
          <w:szCs w:val="23"/>
        </w:rPr>
        <w:t>usura, anatocismo o commissioni indebite</w:t>
      </w:r>
      <w:r w:rsidR="009968A0" w:rsidRPr="00837AE4">
        <w:rPr>
          <w:rFonts w:ascii="Arial" w:eastAsia="Times New Roman" w:hAnsi="Arial" w:cs="Arial"/>
          <w:color w:val="262626" w:themeColor="text1" w:themeTint="D9"/>
          <w:sz w:val="23"/>
          <w:szCs w:val="23"/>
        </w:rPr>
        <w:t xml:space="preserve"> richiedono conoscenze approfondite che il commercialista già detiene o può sviluppare.</w:t>
      </w:r>
    </w:p>
    <w:p w14:paraId="6B9EA593" w14:textId="77777777" w:rsidR="00837AE4" w:rsidRPr="00837AE4" w:rsidRDefault="00837AE4" w:rsidP="00837AE4">
      <w:pPr>
        <w:jc w:val="both"/>
        <w:rPr>
          <w:rFonts w:ascii="Arial" w:eastAsia="Times New Roman" w:hAnsi="Arial" w:cs="Arial"/>
          <w:color w:val="262626" w:themeColor="text1" w:themeTint="D9"/>
          <w:sz w:val="23"/>
          <w:szCs w:val="23"/>
        </w:rPr>
      </w:pPr>
    </w:p>
    <w:p w14:paraId="44FF9049" w14:textId="4042F7C8" w:rsidR="009968A0" w:rsidRDefault="009968A0" w:rsidP="00837AE4">
      <w:pPr>
        <w:jc w:val="both"/>
        <w:rPr>
          <w:rFonts w:ascii="Arial" w:eastAsia="Times New Roman" w:hAnsi="Arial" w:cs="Arial"/>
          <w:color w:val="262626" w:themeColor="text1" w:themeTint="D9"/>
          <w:sz w:val="23"/>
          <w:szCs w:val="23"/>
        </w:rPr>
      </w:pPr>
      <w:r w:rsidRPr="00837AE4">
        <w:rPr>
          <w:rFonts w:ascii="Arial" w:eastAsia="Times New Roman" w:hAnsi="Arial" w:cs="Arial"/>
          <w:color w:val="262626" w:themeColor="text1" w:themeTint="D9"/>
          <w:sz w:val="23"/>
          <w:szCs w:val="23"/>
        </w:rPr>
        <w:t xml:space="preserve">Un ulteriore elemento di rilievo riguarda l’impatto dei rapporti bancari sul </w:t>
      </w:r>
      <w:r w:rsidRPr="00837AE4">
        <w:rPr>
          <w:rFonts w:ascii="Arial" w:eastAsia="Times New Roman" w:hAnsi="Arial" w:cs="Arial"/>
          <w:b/>
          <w:bCs/>
          <w:color w:val="262626" w:themeColor="text1" w:themeTint="D9"/>
          <w:sz w:val="23"/>
          <w:szCs w:val="23"/>
        </w:rPr>
        <w:t>rating creditizio</w:t>
      </w:r>
      <w:r w:rsidRPr="00837AE4">
        <w:rPr>
          <w:rFonts w:ascii="Arial" w:eastAsia="Times New Roman" w:hAnsi="Arial" w:cs="Arial"/>
          <w:color w:val="262626" w:themeColor="text1" w:themeTint="D9"/>
          <w:sz w:val="23"/>
          <w:szCs w:val="23"/>
        </w:rPr>
        <w:t xml:space="preserve"> e, più in generale, sulla </w:t>
      </w:r>
      <w:r w:rsidRPr="00837AE4">
        <w:rPr>
          <w:rFonts w:ascii="Arial" w:eastAsia="Times New Roman" w:hAnsi="Arial" w:cs="Arial"/>
          <w:b/>
          <w:bCs/>
          <w:color w:val="262626" w:themeColor="text1" w:themeTint="D9"/>
          <w:sz w:val="23"/>
          <w:szCs w:val="23"/>
        </w:rPr>
        <w:t>continuità aziendale</w:t>
      </w:r>
      <w:r w:rsidRPr="00837AE4">
        <w:rPr>
          <w:rFonts w:ascii="Arial" w:eastAsia="Times New Roman" w:hAnsi="Arial" w:cs="Arial"/>
          <w:color w:val="262626" w:themeColor="text1" w:themeTint="D9"/>
          <w:sz w:val="23"/>
          <w:szCs w:val="23"/>
        </w:rPr>
        <w:t>.</w:t>
      </w:r>
    </w:p>
    <w:p w14:paraId="0192A0C8" w14:textId="77777777" w:rsidR="00837AE4" w:rsidRPr="00837AE4" w:rsidRDefault="00837AE4" w:rsidP="00837AE4">
      <w:pPr>
        <w:jc w:val="both"/>
        <w:rPr>
          <w:rFonts w:ascii="Arial" w:eastAsia="Times New Roman" w:hAnsi="Arial" w:cs="Arial"/>
          <w:color w:val="262626" w:themeColor="text1" w:themeTint="D9"/>
          <w:sz w:val="23"/>
          <w:szCs w:val="23"/>
        </w:rPr>
      </w:pPr>
    </w:p>
    <w:p w14:paraId="1B4F1CAF" w14:textId="264EFBA0" w:rsidR="009968A0" w:rsidRPr="00837AE4" w:rsidRDefault="00BE0633" w:rsidP="00837AE4">
      <w:pPr>
        <w:jc w:val="both"/>
        <w:rPr>
          <w:rFonts w:ascii="Arial" w:eastAsia="Aptos" w:hAnsi="Arial" w:cs="Arial"/>
          <w:color w:val="262626" w:themeColor="text1" w:themeTint="D9"/>
          <w:kern w:val="2"/>
          <w:sz w:val="23"/>
          <w:szCs w:val="23"/>
          <w14:ligatures w14:val="standardContextual"/>
        </w:rPr>
      </w:pPr>
      <w:r w:rsidRPr="00837AE4">
        <w:rPr>
          <w:rFonts w:ascii="Arial" w:eastAsia="Times New Roman" w:hAnsi="Arial" w:cs="Arial"/>
          <w:color w:val="262626" w:themeColor="text1" w:themeTint="D9"/>
          <w:sz w:val="23"/>
          <w:szCs w:val="23"/>
        </w:rPr>
        <w:lastRenderedPageBreak/>
        <w:t>La</w:t>
      </w:r>
      <w:r w:rsidR="009968A0" w:rsidRPr="00837AE4">
        <w:rPr>
          <w:rFonts w:ascii="Arial" w:eastAsia="Times New Roman" w:hAnsi="Arial" w:cs="Arial"/>
          <w:color w:val="262626" w:themeColor="text1" w:themeTint="D9"/>
          <w:sz w:val="23"/>
          <w:szCs w:val="23"/>
        </w:rPr>
        <w:t xml:space="preserve"> tutela della clientela bancaria e finanziaria non rappresenta un tema meramente giuridico, ma un </w:t>
      </w:r>
      <w:r w:rsidR="009968A0" w:rsidRPr="00837AE4">
        <w:rPr>
          <w:rFonts w:ascii="Arial" w:eastAsia="Times New Roman" w:hAnsi="Arial" w:cs="Arial"/>
          <w:b/>
          <w:bCs/>
          <w:color w:val="262626" w:themeColor="text1" w:themeTint="D9"/>
          <w:sz w:val="23"/>
          <w:szCs w:val="23"/>
        </w:rPr>
        <w:t>ambito operativo strategico per il commercialista</w:t>
      </w:r>
      <w:r w:rsidR="009968A0" w:rsidRPr="00837AE4">
        <w:rPr>
          <w:rFonts w:ascii="Arial" w:eastAsia="Times New Roman" w:hAnsi="Arial" w:cs="Arial"/>
          <w:color w:val="262626" w:themeColor="text1" w:themeTint="D9"/>
          <w:sz w:val="23"/>
          <w:szCs w:val="23"/>
        </w:rPr>
        <w:t xml:space="preserve">, che rafforza il suo ruolo come garante della trasparenza nei rapporti bancari, consulente nella gestione del credito, supporto tecnico nelle controversie e presidio della solidità finanziaria dell’impresa. In questa prospettiva, gli strumenti di tutela si configurano come vere e proprie leve operative che il professionista può utilizzare per </w:t>
      </w:r>
      <w:r w:rsidR="009968A0" w:rsidRPr="00837AE4">
        <w:rPr>
          <w:rFonts w:ascii="Arial" w:eastAsia="Times New Roman" w:hAnsi="Arial" w:cs="Arial"/>
          <w:b/>
          <w:bCs/>
          <w:color w:val="262626" w:themeColor="text1" w:themeTint="D9"/>
          <w:sz w:val="23"/>
          <w:szCs w:val="23"/>
        </w:rPr>
        <w:t>proteggere e valorizzare l’impresa cliente</w:t>
      </w:r>
      <w:r w:rsidR="009968A0" w:rsidRPr="00837AE4">
        <w:rPr>
          <w:rFonts w:ascii="Arial" w:eastAsia="Times New Roman" w:hAnsi="Arial" w:cs="Arial"/>
          <w:color w:val="262626" w:themeColor="text1" w:themeTint="D9"/>
          <w:sz w:val="23"/>
          <w:szCs w:val="23"/>
        </w:rPr>
        <w:t xml:space="preserve"> oltre che per la </w:t>
      </w:r>
      <w:r w:rsidR="009968A0" w:rsidRPr="00837AE4">
        <w:rPr>
          <w:rFonts w:ascii="Arial" w:eastAsia="Times New Roman" w:hAnsi="Arial" w:cs="Arial"/>
          <w:b/>
          <w:bCs/>
          <w:color w:val="262626" w:themeColor="text1" w:themeTint="D9"/>
          <w:sz w:val="23"/>
          <w:szCs w:val="23"/>
        </w:rPr>
        <w:t>tutela del consumatore</w:t>
      </w:r>
      <w:r w:rsidR="009968A0" w:rsidRPr="00837AE4">
        <w:rPr>
          <w:rFonts w:ascii="Arial" w:eastAsia="Times New Roman" w:hAnsi="Arial" w:cs="Arial"/>
          <w:color w:val="262626" w:themeColor="text1" w:themeTint="D9"/>
          <w:sz w:val="23"/>
          <w:szCs w:val="23"/>
        </w:rPr>
        <w:t>.</w:t>
      </w:r>
    </w:p>
    <w:p w14:paraId="5A1B5B25" w14:textId="77777777" w:rsidR="002B2BE9" w:rsidRPr="00837AE4" w:rsidRDefault="002B2BE9" w:rsidP="00837AE4">
      <w:pPr>
        <w:jc w:val="center"/>
        <w:rPr>
          <w:rFonts w:ascii="Arial" w:hAnsi="Arial" w:cs="Arial"/>
          <w:bCs/>
          <w:sz w:val="23"/>
          <w:szCs w:val="23"/>
        </w:rPr>
      </w:pPr>
    </w:p>
    <w:sectPr w:rsidR="002B2BE9" w:rsidRPr="00837AE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682A" w14:textId="77777777" w:rsidR="00A12450" w:rsidRDefault="00A12450" w:rsidP="00E57E76">
      <w:r>
        <w:separator/>
      </w:r>
    </w:p>
  </w:endnote>
  <w:endnote w:type="continuationSeparator" w:id="0">
    <w:p w14:paraId="5D8919B7" w14:textId="77777777" w:rsidR="00A12450" w:rsidRDefault="00A12450" w:rsidP="00E5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90747" w14:textId="77777777" w:rsidR="00A12450" w:rsidRDefault="00A12450" w:rsidP="00E57E76">
      <w:r>
        <w:separator/>
      </w:r>
    </w:p>
  </w:footnote>
  <w:footnote w:type="continuationSeparator" w:id="0">
    <w:p w14:paraId="2CEE09D6" w14:textId="77777777" w:rsidR="00A12450" w:rsidRDefault="00A12450" w:rsidP="00E5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6EDF" w14:textId="5B3C50DB" w:rsidR="00E57E76" w:rsidRDefault="00E57E76" w:rsidP="00E57E76">
    <w:pPr>
      <w:pStyle w:val="Intestazione"/>
      <w:jc w:val="center"/>
    </w:pPr>
    <w:r w:rsidRPr="00F6138D">
      <w:rPr>
        <w:noProof/>
      </w:rPr>
      <w:drawing>
        <wp:inline distT="0" distB="0" distL="0" distR="0" wp14:anchorId="33F6BB06" wp14:editId="1B71AA60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CAF"/>
    <w:multiLevelType w:val="hybridMultilevel"/>
    <w:tmpl w:val="262A9872"/>
    <w:lvl w:ilvl="0" w:tplc="A1F23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00DD3"/>
    <w:multiLevelType w:val="hybridMultilevel"/>
    <w:tmpl w:val="3070982A"/>
    <w:lvl w:ilvl="0" w:tplc="A6743C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129386">
    <w:abstractNumId w:val="0"/>
  </w:num>
  <w:num w:numId="2" w16cid:durableId="2049061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A9"/>
    <w:rsid w:val="00016F1E"/>
    <w:rsid w:val="00080A1C"/>
    <w:rsid w:val="0009032C"/>
    <w:rsid w:val="000908EC"/>
    <w:rsid w:val="000914E5"/>
    <w:rsid w:val="000C77A4"/>
    <w:rsid w:val="00107219"/>
    <w:rsid w:val="00115C7C"/>
    <w:rsid w:val="001B5F0B"/>
    <w:rsid w:val="001D2BA2"/>
    <w:rsid w:val="002005C7"/>
    <w:rsid w:val="00206A49"/>
    <w:rsid w:val="00214077"/>
    <w:rsid w:val="002310C3"/>
    <w:rsid w:val="002350C8"/>
    <w:rsid w:val="00285BF7"/>
    <w:rsid w:val="002948ED"/>
    <w:rsid w:val="002A0271"/>
    <w:rsid w:val="002B2BE9"/>
    <w:rsid w:val="00322E2F"/>
    <w:rsid w:val="00333D91"/>
    <w:rsid w:val="00336C2D"/>
    <w:rsid w:val="003861F7"/>
    <w:rsid w:val="003A4A5D"/>
    <w:rsid w:val="003A7845"/>
    <w:rsid w:val="003A7DDE"/>
    <w:rsid w:val="003D1F47"/>
    <w:rsid w:val="003F070C"/>
    <w:rsid w:val="00427BD3"/>
    <w:rsid w:val="0044215B"/>
    <w:rsid w:val="004514D9"/>
    <w:rsid w:val="00464BDB"/>
    <w:rsid w:val="00497D30"/>
    <w:rsid w:val="004C09FD"/>
    <w:rsid w:val="004F296B"/>
    <w:rsid w:val="004F413B"/>
    <w:rsid w:val="0055064E"/>
    <w:rsid w:val="005738CA"/>
    <w:rsid w:val="00587F51"/>
    <w:rsid w:val="005C36A7"/>
    <w:rsid w:val="005C3BD4"/>
    <w:rsid w:val="005E0C94"/>
    <w:rsid w:val="005E0DE9"/>
    <w:rsid w:val="005F4DF3"/>
    <w:rsid w:val="006603D8"/>
    <w:rsid w:val="006B004B"/>
    <w:rsid w:val="006B63E7"/>
    <w:rsid w:val="006E1AD5"/>
    <w:rsid w:val="006E423A"/>
    <w:rsid w:val="007119C0"/>
    <w:rsid w:val="007629BA"/>
    <w:rsid w:val="0077621F"/>
    <w:rsid w:val="00787E73"/>
    <w:rsid w:val="007B6038"/>
    <w:rsid w:val="008002A9"/>
    <w:rsid w:val="00803FFA"/>
    <w:rsid w:val="00837AE4"/>
    <w:rsid w:val="0086461C"/>
    <w:rsid w:val="00931627"/>
    <w:rsid w:val="00950B3B"/>
    <w:rsid w:val="00953FF4"/>
    <w:rsid w:val="00976A30"/>
    <w:rsid w:val="00994AF4"/>
    <w:rsid w:val="009968A0"/>
    <w:rsid w:val="009A049E"/>
    <w:rsid w:val="009C4CCA"/>
    <w:rsid w:val="009C64E4"/>
    <w:rsid w:val="009D1E10"/>
    <w:rsid w:val="00A0582B"/>
    <w:rsid w:val="00A06705"/>
    <w:rsid w:val="00A12450"/>
    <w:rsid w:val="00AB2931"/>
    <w:rsid w:val="00B44750"/>
    <w:rsid w:val="00B93394"/>
    <w:rsid w:val="00BB10F5"/>
    <w:rsid w:val="00BE0633"/>
    <w:rsid w:val="00C00166"/>
    <w:rsid w:val="00C15AA9"/>
    <w:rsid w:val="00C22AE6"/>
    <w:rsid w:val="00C909CC"/>
    <w:rsid w:val="00C9231A"/>
    <w:rsid w:val="00CA794E"/>
    <w:rsid w:val="00CB3C8A"/>
    <w:rsid w:val="00CC5920"/>
    <w:rsid w:val="00D04C1A"/>
    <w:rsid w:val="00D21CF3"/>
    <w:rsid w:val="00D23044"/>
    <w:rsid w:val="00D4645C"/>
    <w:rsid w:val="00D83F6E"/>
    <w:rsid w:val="00DE7CA9"/>
    <w:rsid w:val="00E024D0"/>
    <w:rsid w:val="00E30E7A"/>
    <w:rsid w:val="00E503C3"/>
    <w:rsid w:val="00E57E76"/>
    <w:rsid w:val="00E72AE3"/>
    <w:rsid w:val="00EE24F3"/>
    <w:rsid w:val="00F22822"/>
    <w:rsid w:val="00F31DE2"/>
    <w:rsid w:val="00F4104E"/>
    <w:rsid w:val="00F52DB5"/>
    <w:rsid w:val="00F64DFA"/>
    <w:rsid w:val="00F835B2"/>
    <w:rsid w:val="00F93505"/>
    <w:rsid w:val="00FB1DC1"/>
    <w:rsid w:val="00FD7172"/>
    <w:rsid w:val="00FE42E9"/>
    <w:rsid w:val="00FF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97FB"/>
  <w15:chartTrackingRefBased/>
  <w15:docId w15:val="{837C2FF3-9097-4FC4-8CD8-AC487488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49E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5A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A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A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A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A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A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A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A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A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A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A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1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A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AA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A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15AA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15A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A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AA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15A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15AA9"/>
    <w:rPr>
      <w:b/>
      <w:bCs/>
    </w:rPr>
  </w:style>
  <w:style w:type="character" w:styleId="Enfasicorsivo">
    <w:name w:val="Emphasis"/>
    <w:basedOn w:val="Carpredefinitoparagrafo"/>
    <w:uiPriority w:val="20"/>
    <w:qFormat/>
    <w:rsid w:val="00C15AA9"/>
    <w:rPr>
      <w:i/>
      <w:iCs/>
    </w:rPr>
  </w:style>
  <w:style w:type="paragraph" w:customStyle="1" w:styleId="elementtoproof">
    <w:name w:val="elementtoproof"/>
    <w:basedOn w:val="Normale"/>
    <w:rsid w:val="009A049E"/>
  </w:style>
  <w:style w:type="paragraph" w:styleId="Intestazione">
    <w:name w:val="header"/>
    <w:basedOn w:val="Normale"/>
    <w:link w:val="Intestazione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E76"/>
    <w:rPr>
      <w:rFonts w:ascii="Aptos" w:hAnsi="Aptos" w:cs="Aptos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E76"/>
    <w:rPr>
      <w:rFonts w:ascii="Aptos" w:hAnsi="Aptos" w:cs="Aptos"/>
      <w:kern w:val="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22822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22822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"/>
    <w:uiPriority w:val="99"/>
    <w:unhideWhenUsed/>
    <w:rsid w:val="00F2282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F4DF3"/>
    <w:rPr>
      <w:color w:val="467886" w:themeColor="hyperlink"/>
      <w:u w:val="single"/>
    </w:rPr>
  </w:style>
  <w:style w:type="paragraph" w:customStyle="1" w:styleId="Copertina-Autori">
    <w:name w:val="Copertina - Autori"/>
    <w:basedOn w:val="Normale"/>
    <w:qFormat/>
    <w:rsid w:val="0077621F"/>
    <w:pPr>
      <w:spacing w:after="120" w:line="312" w:lineRule="auto"/>
      <w:jc w:val="both"/>
    </w:pPr>
    <w:rPr>
      <w:rFonts w:asciiTheme="minorHAnsi" w:eastAsia="Calibri" w:hAnsiTheme="minorHAnsi" w:cs="Times New Roman (Corpo CS)"/>
      <w:b/>
      <w:bCs/>
      <w:color w:val="FFFFFF" w:themeColor="background1"/>
      <w:sz w:val="26"/>
      <w:szCs w:val="28"/>
      <w:lang w:eastAsia="en-US"/>
    </w:rPr>
  </w:style>
  <w:style w:type="paragraph" w:styleId="Revisione">
    <w:name w:val="Revision"/>
    <w:hidden/>
    <w:uiPriority w:val="99"/>
    <w:semiHidden/>
    <w:rsid w:val="008002A9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dcterms:created xsi:type="dcterms:W3CDTF">2026-04-27T10:48:00Z</dcterms:created>
  <dcterms:modified xsi:type="dcterms:W3CDTF">2026-04-27T11:02:00Z</dcterms:modified>
</cp:coreProperties>
</file>