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DA610A" w:rsidRDefault="00505E0A" w:rsidP="00490C3D">
      <w:pPr>
        <w:jc w:val="both"/>
        <w:rPr>
          <w:rFonts w:ascii="Arial" w:hAnsi="Arial" w:cs="Arial"/>
          <w:b/>
          <w:bCs/>
        </w:rPr>
      </w:pPr>
    </w:p>
    <w:p w14:paraId="2C53CE86" w14:textId="77777777" w:rsidR="00F95D90" w:rsidRPr="00490C3D" w:rsidRDefault="00F95D90" w:rsidP="00490C3D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490C3D">
        <w:rPr>
          <w:rFonts w:ascii="Arial" w:eastAsia="Times New Roman" w:hAnsi="Arial" w:cs="Arial"/>
          <w:b/>
          <w:bCs/>
          <w:sz w:val="22"/>
          <w:szCs w:val="22"/>
          <w:u w:val="single"/>
        </w:rPr>
        <w:t>Comunicato stampa</w:t>
      </w:r>
    </w:p>
    <w:p w14:paraId="5AC6B210" w14:textId="77777777" w:rsidR="00F95D90" w:rsidRPr="00490C3D" w:rsidRDefault="00F95D90" w:rsidP="00490C3D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2626BB3B" w14:textId="77777777" w:rsidR="00F95D90" w:rsidRPr="00490C3D" w:rsidRDefault="00F95D90" w:rsidP="00490C3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490C3D">
        <w:rPr>
          <w:rFonts w:ascii="Arial" w:eastAsia="Times New Roman" w:hAnsi="Arial" w:cs="Arial"/>
          <w:b/>
          <w:bCs/>
          <w:sz w:val="22"/>
          <w:szCs w:val="22"/>
        </w:rPr>
        <w:t> COLLEGI SINDACALI COOPERATIVE INCARICATI DELLA REVISIONE LEGALE, DAI COMMERCIALISTI LA RELAZIONE UNITARIA AI SOCI</w:t>
      </w:r>
    </w:p>
    <w:p w14:paraId="77D48494" w14:textId="77777777" w:rsidR="00F95D90" w:rsidRPr="00490C3D" w:rsidRDefault="00F95D90" w:rsidP="00490C3D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36E98407" w14:textId="77777777" w:rsidR="00F95D90" w:rsidRPr="00490C3D" w:rsidRDefault="00F95D90" w:rsidP="00490C3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490C3D">
        <w:rPr>
          <w:rFonts w:ascii="Arial" w:eastAsia="Times New Roman" w:hAnsi="Arial" w:cs="Arial"/>
          <w:b/>
          <w:bCs/>
          <w:sz w:val="22"/>
          <w:szCs w:val="22"/>
        </w:rPr>
        <w:t>Il documento fornisce una tipizzazione dei contenuti obbligatori e di altri “consigliati” della relazione del collegio sindacale all’assemblea dei soci di cooperative in merito al bilancio di esercizio</w:t>
      </w:r>
    </w:p>
    <w:p w14:paraId="26FCB895" w14:textId="77777777" w:rsidR="00F95D90" w:rsidRPr="00490C3D" w:rsidRDefault="00F95D90" w:rsidP="00490C3D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4FDCDBC4" w14:textId="219CAEE3" w:rsidR="00EB5AB7" w:rsidRDefault="00F95D90" w:rsidP="00490C3D">
      <w:pPr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i/>
          <w:iCs/>
          <w:sz w:val="22"/>
          <w:szCs w:val="22"/>
        </w:rPr>
        <w:t xml:space="preserve">Roma, </w:t>
      </w:r>
      <w:r w:rsidR="00EB5AB7" w:rsidRPr="00490C3D">
        <w:rPr>
          <w:rFonts w:ascii="Arial" w:eastAsia="Times New Roman" w:hAnsi="Arial" w:cs="Arial"/>
          <w:i/>
          <w:iCs/>
          <w:sz w:val="22"/>
          <w:szCs w:val="22"/>
        </w:rPr>
        <w:t>1 aprile</w:t>
      </w:r>
      <w:r w:rsidRPr="00490C3D">
        <w:rPr>
          <w:rFonts w:ascii="Arial" w:eastAsia="Times New Roman" w:hAnsi="Arial" w:cs="Arial"/>
          <w:i/>
          <w:iCs/>
          <w:sz w:val="22"/>
          <w:szCs w:val="22"/>
        </w:rPr>
        <w:t xml:space="preserve"> 202</w:t>
      </w:r>
      <w:r w:rsidR="00221FA6" w:rsidRPr="00490C3D">
        <w:rPr>
          <w:rFonts w:ascii="Arial" w:eastAsia="Times New Roman" w:hAnsi="Arial" w:cs="Arial"/>
          <w:i/>
          <w:iCs/>
          <w:sz w:val="22"/>
          <w:szCs w:val="22"/>
        </w:rPr>
        <w:t>6</w:t>
      </w:r>
      <w:r w:rsidRPr="00490C3D">
        <w:rPr>
          <w:rFonts w:ascii="Arial" w:eastAsia="Times New Roman" w:hAnsi="Arial" w:cs="Arial"/>
          <w:i/>
          <w:iCs/>
          <w:sz w:val="22"/>
          <w:szCs w:val="22"/>
        </w:rPr>
        <w:t xml:space="preserve"> –</w:t>
      </w:r>
      <w:r w:rsidRPr="00490C3D">
        <w:rPr>
          <w:rFonts w:ascii="Arial" w:eastAsia="Times New Roman" w:hAnsi="Arial" w:cs="Arial"/>
          <w:sz w:val="22"/>
          <w:szCs w:val="22"/>
        </w:rPr>
        <w:t xml:space="preserve"> Il Consiglio </w:t>
      </w:r>
      <w:r w:rsidR="00EB5AB7">
        <w:rPr>
          <w:rFonts w:ascii="Arial" w:eastAsia="Times New Roman" w:hAnsi="Arial" w:cs="Arial"/>
          <w:sz w:val="22"/>
          <w:szCs w:val="22"/>
        </w:rPr>
        <w:t>Nazionale</w:t>
      </w:r>
      <w:r w:rsidRPr="00490C3D">
        <w:rPr>
          <w:rFonts w:ascii="Arial" w:eastAsia="Times New Roman" w:hAnsi="Arial" w:cs="Arial"/>
          <w:sz w:val="22"/>
          <w:szCs w:val="22"/>
        </w:rPr>
        <w:t xml:space="preserve"> dei commercialisti ha pubblicato il documento “</w:t>
      </w:r>
      <w:r w:rsidRPr="00490C3D">
        <w:rPr>
          <w:rFonts w:ascii="Arial" w:eastAsia="Times New Roman" w:hAnsi="Arial" w:cs="Arial"/>
          <w:b/>
          <w:bCs/>
          <w:sz w:val="22"/>
          <w:szCs w:val="22"/>
        </w:rPr>
        <w:t>La relazione unitaria del collegio sindacale ai soci delle società cooperative incaricato della revisione legale dei conti - La relazione del collegio sindacale a</w:t>
      </w:r>
      <w:r w:rsidR="00AE5F1B" w:rsidRPr="00490C3D">
        <w:rPr>
          <w:rFonts w:ascii="Arial" w:eastAsia="Times New Roman" w:hAnsi="Arial" w:cs="Arial"/>
          <w:b/>
          <w:bCs/>
          <w:sz w:val="22"/>
          <w:szCs w:val="22"/>
        </w:rPr>
        <w:t>ll’assemblea de</w:t>
      </w:r>
      <w:r w:rsidRPr="00490C3D">
        <w:rPr>
          <w:rFonts w:ascii="Arial" w:eastAsia="Times New Roman" w:hAnsi="Arial" w:cs="Arial"/>
          <w:b/>
          <w:bCs/>
          <w:sz w:val="22"/>
          <w:szCs w:val="22"/>
        </w:rPr>
        <w:t>i soci de</w:t>
      </w:r>
      <w:r w:rsidR="00AE5F1B" w:rsidRPr="00490C3D">
        <w:rPr>
          <w:rFonts w:ascii="Arial" w:eastAsia="Times New Roman" w:hAnsi="Arial" w:cs="Arial"/>
          <w:b/>
          <w:bCs/>
          <w:sz w:val="22"/>
          <w:szCs w:val="22"/>
        </w:rPr>
        <w:t xml:space="preserve">lle società cooperative in occasione dell’approvazione del bilancio </w:t>
      </w:r>
      <w:r w:rsidRPr="00490C3D">
        <w:rPr>
          <w:rFonts w:ascii="Arial" w:eastAsia="Times New Roman" w:hAnsi="Arial" w:cs="Arial"/>
          <w:b/>
          <w:bCs/>
          <w:sz w:val="22"/>
          <w:szCs w:val="22"/>
        </w:rPr>
        <w:t>di esercizio chiuso al 31 dicembre 202</w:t>
      </w:r>
      <w:r w:rsidR="00174B60" w:rsidRPr="00490C3D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163E33" w:rsidRPr="00490C3D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490C3D">
        <w:rPr>
          <w:rFonts w:ascii="Arial" w:eastAsia="Times New Roman" w:hAnsi="Arial" w:cs="Arial"/>
          <w:b/>
          <w:bCs/>
          <w:sz w:val="22"/>
          <w:szCs w:val="22"/>
        </w:rPr>
        <w:t>redatta ai sensi dell’art. 2429, co. 2, c.c.</w:t>
      </w:r>
      <w:r w:rsidRPr="00490C3D">
        <w:rPr>
          <w:rFonts w:ascii="Arial" w:eastAsia="Times New Roman" w:hAnsi="Arial" w:cs="Arial"/>
          <w:sz w:val="22"/>
          <w:szCs w:val="22"/>
        </w:rPr>
        <w:t>”</w:t>
      </w:r>
      <w:r w:rsidR="00EB5AB7">
        <w:rPr>
          <w:rFonts w:ascii="Arial" w:eastAsia="Times New Roman" w:hAnsi="Arial" w:cs="Arial"/>
          <w:sz w:val="22"/>
          <w:szCs w:val="22"/>
        </w:rPr>
        <w:t xml:space="preserve">, </w:t>
      </w:r>
      <w:r w:rsidRPr="00490C3D">
        <w:rPr>
          <w:rFonts w:ascii="Arial" w:eastAsia="Times New Roman" w:hAnsi="Arial" w:cs="Arial"/>
          <w:sz w:val="22"/>
          <w:szCs w:val="22"/>
        </w:rPr>
        <w:t>realizzato nell’ambito delle attività dell’area “Società cooperative (adempimenti, reporting, revisione)” a</w:t>
      </w:r>
      <w:r w:rsidR="00EB5AB7">
        <w:rPr>
          <w:rFonts w:ascii="Arial" w:eastAsia="Times New Roman" w:hAnsi="Arial" w:cs="Arial"/>
          <w:sz w:val="22"/>
          <w:szCs w:val="22"/>
        </w:rPr>
        <w:t xml:space="preserve"> cui </w:t>
      </w:r>
      <w:r w:rsidRPr="00490C3D">
        <w:rPr>
          <w:rFonts w:ascii="Arial" w:eastAsia="Times New Roman" w:hAnsi="Arial" w:cs="Arial"/>
          <w:sz w:val="22"/>
          <w:szCs w:val="22"/>
        </w:rPr>
        <w:t xml:space="preserve">è delegato il Consigliere </w:t>
      </w:r>
      <w:r w:rsidR="00EB5AB7">
        <w:rPr>
          <w:rFonts w:ascii="Arial" w:eastAsia="Times New Roman" w:hAnsi="Arial" w:cs="Arial"/>
          <w:sz w:val="22"/>
          <w:szCs w:val="22"/>
        </w:rPr>
        <w:t>Nazionale</w:t>
      </w:r>
      <w:r w:rsidRPr="00490C3D">
        <w:rPr>
          <w:rFonts w:ascii="Arial" w:eastAsia="Times New Roman" w:hAnsi="Arial" w:cs="Arial"/>
          <w:sz w:val="22"/>
          <w:szCs w:val="22"/>
        </w:rPr>
        <w:t xml:space="preserve"> </w:t>
      </w:r>
      <w:r w:rsidRPr="00490C3D">
        <w:rPr>
          <w:rFonts w:ascii="Arial" w:eastAsia="Times New Roman" w:hAnsi="Arial" w:cs="Arial"/>
          <w:b/>
          <w:bCs/>
          <w:sz w:val="22"/>
          <w:szCs w:val="22"/>
        </w:rPr>
        <w:t>Gian Luca Galletti</w:t>
      </w:r>
      <w:r w:rsidR="00EB5AB7">
        <w:rPr>
          <w:rFonts w:ascii="Arial" w:eastAsia="Times New Roman" w:hAnsi="Arial" w:cs="Arial"/>
          <w:sz w:val="22"/>
          <w:szCs w:val="22"/>
        </w:rPr>
        <w:t>.</w:t>
      </w:r>
    </w:p>
    <w:p w14:paraId="6598D82A" w14:textId="77777777" w:rsidR="00EB5AB7" w:rsidRDefault="00EB5AB7" w:rsidP="00490C3D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77ABFDC" w14:textId="517412AE" w:rsidR="00F95D90" w:rsidRPr="00490C3D" w:rsidRDefault="00EB5AB7" w:rsidP="00490C3D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Il documento 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costituisce </w:t>
      </w:r>
      <w:r w:rsidR="00F95D90" w:rsidRPr="00EB5AB7">
        <w:rPr>
          <w:rFonts w:ascii="Arial" w:eastAsia="Times New Roman" w:hAnsi="Arial" w:cs="Arial"/>
          <w:b/>
          <w:bCs/>
          <w:sz w:val="22"/>
          <w:szCs w:val="22"/>
        </w:rPr>
        <w:t>un aggiornamento d</w:t>
      </w:r>
      <w:r w:rsidRPr="00EB5AB7">
        <w:rPr>
          <w:rFonts w:ascii="Arial" w:eastAsia="Times New Roman" w:hAnsi="Arial" w:cs="Arial"/>
          <w:b/>
          <w:bCs/>
          <w:sz w:val="22"/>
          <w:szCs w:val="22"/>
        </w:rPr>
        <w:t xml:space="preserve">i quello </w:t>
      </w:r>
      <w:r w:rsidR="00F95D90" w:rsidRPr="00EB5AB7">
        <w:rPr>
          <w:rFonts w:ascii="Arial" w:eastAsia="Times New Roman" w:hAnsi="Arial" w:cs="Arial"/>
          <w:b/>
          <w:bCs/>
          <w:sz w:val="22"/>
          <w:szCs w:val="22"/>
        </w:rPr>
        <w:t>em</w:t>
      </w:r>
      <w:r w:rsidR="002F0DB7" w:rsidRPr="00EB5AB7">
        <w:rPr>
          <w:rFonts w:ascii="Arial" w:eastAsia="Times New Roman" w:hAnsi="Arial" w:cs="Arial"/>
          <w:b/>
          <w:bCs/>
          <w:sz w:val="22"/>
          <w:szCs w:val="22"/>
        </w:rPr>
        <w:t xml:space="preserve">anato </w:t>
      </w:r>
      <w:r w:rsidR="00F95D90" w:rsidRPr="00EB5AB7">
        <w:rPr>
          <w:rFonts w:ascii="Arial" w:eastAsia="Times New Roman" w:hAnsi="Arial" w:cs="Arial"/>
          <w:b/>
          <w:bCs/>
          <w:sz w:val="22"/>
          <w:szCs w:val="22"/>
        </w:rPr>
        <w:t>lo scorso anno</w:t>
      </w:r>
      <w:r w:rsidR="002F0DB7" w:rsidRPr="00490C3D">
        <w:rPr>
          <w:rFonts w:ascii="Arial" w:eastAsia="Times New Roman" w:hAnsi="Arial" w:cs="Arial"/>
          <w:sz w:val="22"/>
          <w:szCs w:val="22"/>
        </w:rPr>
        <w:t xml:space="preserve"> allo s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copo </w:t>
      </w:r>
      <w:r w:rsidR="002F0DB7" w:rsidRPr="00490C3D">
        <w:rPr>
          <w:rFonts w:ascii="Arial" w:eastAsia="Times New Roman" w:hAnsi="Arial" w:cs="Arial"/>
          <w:sz w:val="22"/>
          <w:szCs w:val="22"/>
        </w:rPr>
        <w:t xml:space="preserve">di 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rafforzare </w:t>
      </w:r>
      <w:r w:rsidR="00F95D90" w:rsidRPr="00EB5AB7">
        <w:rPr>
          <w:rFonts w:ascii="Arial" w:eastAsia="Times New Roman" w:hAnsi="Arial" w:cs="Arial"/>
          <w:b/>
          <w:bCs/>
          <w:sz w:val="22"/>
          <w:szCs w:val="22"/>
        </w:rPr>
        <w:t xml:space="preserve">l’impegno del Consiglio </w:t>
      </w:r>
      <w:r>
        <w:rPr>
          <w:rFonts w:ascii="Arial" w:eastAsia="Times New Roman" w:hAnsi="Arial" w:cs="Arial"/>
          <w:b/>
          <w:bCs/>
          <w:sz w:val="22"/>
          <w:szCs w:val="22"/>
        </w:rPr>
        <w:t>Nazionale</w:t>
      </w:r>
      <w:r w:rsidR="00F95D90" w:rsidRPr="00EB5AB7">
        <w:rPr>
          <w:rFonts w:ascii="Arial" w:eastAsia="Times New Roman" w:hAnsi="Arial" w:cs="Arial"/>
          <w:b/>
          <w:bCs/>
          <w:sz w:val="22"/>
          <w:szCs w:val="22"/>
        </w:rPr>
        <w:t xml:space="preserve"> al servizio dei commercialisti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 che svolgono il ruolo di componente del collegio sindacale di società cooperative, cercando di fornire una tipizzazione dei contenuti obbligatori, e di altri “consigliati”, della relazione del collegio sindacale all’assemblea dei soci di cooperative in merito al bilancio di esercizio.</w:t>
      </w:r>
    </w:p>
    <w:p w14:paraId="27A9AFBE" w14:textId="77777777" w:rsidR="00F95D90" w:rsidRPr="00490C3D" w:rsidRDefault="00F95D90" w:rsidP="00490C3D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B1F210D" w14:textId="55C3DD40" w:rsidR="00F95D90" w:rsidRPr="00490C3D" w:rsidRDefault="00EB5AB7" w:rsidP="00490C3D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La pubblicazione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 contiene l’inquadramento normativo relativo agli obblighi in capo ai componenti del collegio sindacale di società cooperative e</w:t>
      </w:r>
      <w:r w:rsidR="005001C6" w:rsidRPr="00490C3D">
        <w:rPr>
          <w:rFonts w:ascii="Arial" w:eastAsia="Times New Roman" w:hAnsi="Arial" w:cs="Arial"/>
          <w:sz w:val="22"/>
          <w:szCs w:val="22"/>
        </w:rPr>
        <w:t>,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 a seguire</w:t>
      </w:r>
      <w:r w:rsidR="005001C6" w:rsidRPr="00490C3D">
        <w:rPr>
          <w:rFonts w:ascii="Arial" w:eastAsia="Times New Roman" w:hAnsi="Arial" w:cs="Arial"/>
          <w:sz w:val="22"/>
          <w:szCs w:val="22"/>
        </w:rPr>
        <w:t>,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 una proposta di 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>integrazione</w:t>
      </w:r>
      <w:r w:rsidR="00F95D90" w:rsidRPr="00490C3D">
        <w:rPr>
          <w:rFonts w:ascii="Arial" w:eastAsia="Times New Roman" w:hAnsi="Arial" w:cs="Arial"/>
          <w:sz w:val="22"/>
          <w:szCs w:val="22"/>
        </w:rPr>
        <w:t> dei contenuti specifici dei modelli di relazione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="00F95D90" w:rsidRPr="00EB5AB7">
        <w:rPr>
          <w:rFonts w:ascii="Arial" w:eastAsia="Times New Roman" w:hAnsi="Arial" w:cs="Arial"/>
          <w:sz w:val="22"/>
          <w:szCs w:val="22"/>
        </w:rPr>
        <w:t>“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>La relazione unitaria di controllo societario del collegio sindacale incaricato della revisione legale dei conti</w:t>
      </w:r>
      <w:r w:rsidR="00F95D90" w:rsidRPr="00EB5AB7">
        <w:rPr>
          <w:rFonts w:ascii="Arial" w:eastAsia="Times New Roman" w:hAnsi="Arial" w:cs="Arial"/>
          <w:sz w:val="22"/>
          <w:szCs w:val="22"/>
        </w:rPr>
        <w:t>”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95D90" w:rsidRPr="00490C3D">
        <w:rPr>
          <w:rFonts w:ascii="Arial" w:eastAsia="Times New Roman" w:hAnsi="Arial" w:cs="Arial"/>
          <w:sz w:val="22"/>
          <w:szCs w:val="22"/>
        </w:rPr>
        <w:t>e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="00F95D90" w:rsidRPr="00EB5AB7">
        <w:rPr>
          <w:rFonts w:ascii="Arial" w:eastAsia="Times New Roman" w:hAnsi="Arial" w:cs="Arial"/>
          <w:sz w:val="22"/>
          <w:szCs w:val="22"/>
        </w:rPr>
        <w:t>“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>La relazione del collegio sindacale all’assemblea dei soci in occasione dell’approvazione del bilancio di esercizio chiuso al 31 dicembre 202</w:t>
      </w:r>
      <w:r w:rsidR="002F0DB7" w:rsidRPr="00490C3D">
        <w:rPr>
          <w:rFonts w:ascii="Arial" w:eastAsia="Times New Roman" w:hAnsi="Arial" w:cs="Arial"/>
          <w:b/>
          <w:bCs/>
          <w:sz w:val="22"/>
          <w:szCs w:val="22"/>
        </w:rPr>
        <w:t xml:space="preserve">5 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>redatta ai sensi dell’art. 2429, comma 2, c.c.</w:t>
      </w:r>
      <w:r w:rsidR="00F95D90" w:rsidRPr="00EB5AB7">
        <w:rPr>
          <w:rFonts w:ascii="Arial" w:eastAsia="Times New Roman" w:hAnsi="Arial" w:cs="Arial"/>
          <w:sz w:val="22"/>
          <w:szCs w:val="22"/>
        </w:rPr>
        <w:t>”</w:t>
      </w:r>
      <w:r w:rsidR="00F95D90" w:rsidRPr="00490C3D">
        <w:rPr>
          <w:rFonts w:ascii="Arial" w:eastAsia="Times New Roman" w:hAnsi="Arial" w:cs="Arial"/>
          <w:sz w:val="22"/>
          <w:szCs w:val="22"/>
        </w:rPr>
        <w:t>,</w:t>
      </w:r>
      <w:r w:rsidR="00F95D90" w:rsidRPr="00490C3D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emanati dal Consiglio </w:t>
      </w:r>
      <w:r>
        <w:rPr>
          <w:rFonts w:ascii="Arial" w:eastAsia="Times New Roman" w:hAnsi="Arial" w:cs="Arial"/>
          <w:sz w:val="22"/>
          <w:szCs w:val="22"/>
        </w:rPr>
        <w:t>Nazionale</w:t>
      </w:r>
      <w:r w:rsidR="00F95D90" w:rsidRPr="00490C3D">
        <w:rPr>
          <w:rFonts w:ascii="Arial" w:eastAsia="Times New Roman" w:hAnsi="Arial" w:cs="Arial"/>
          <w:sz w:val="22"/>
          <w:szCs w:val="22"/>
        </w:rPr>
        <w:t xml:space="preserve"> </w:t>
      </w:r>
      <w:r w:rsidR="00FA766C" w:rsidRPr="00490C3D">
        <w:rPr>
          <w:rFonts w:ascii="Arial" w:eastAsia="Times New Roman" w:hAnsi="Arial" w:cs="Arial"/>
          <w:sz w:val="22"/>
          <w:szCs w:val="22"/>
        </w:rPr>
        <w:t xml:space="preserve">il 19 </w:t>
      </w:r>
      <w:r w:rsidR="005001C6" w:rsidRPr="00490C3D">
        <w:rPr>
          <w:rFonts w:ascii="Arial" w:eastAsia="Times New Roman" w:hAnsi="Arial" w:cs="Arial"/>
          <w:sz w:val="22"/>
          <w:szCs w:val="22"/>
        </w:rPr>
        <w:t xml:space="preserve">marzo </w:t>
      </w:r>
      <w:r w:rsidR="00F95D90" w:rsidRPr="00490C3D">
        <w:rPr>
          <w:rFonts w:ascii="Arial" w:eastAsia="Times New Roman" w:hAnsi="Arial" w:cs="Arial"/>
          <w:sz w:val="22"/>
          <w:szCs w:val="22"/>
        </w:rPr>
        <w:t>202</w:t>
      </w:r>
      <w:r w:rsidR="00FA766C" w:rsidRPr="00490C3D">
        <w:rPr>
          <w:rFonts w:ascii="Arial" w:eastAsia="Times New Roman" w:hAnsi="Arial" w:cs="Arial"/>
          <w:sz w:val="22"/>
          <w:szCs w:val="22"/>
        </w:rPr>
        <w:t>6</w:t>
      </w:r>
      <w:r w:rsidR="00F95D90" w:rsidRPr="00490C3D">
        <w:rPr>
          <w:rFonts w:ascii="Arial" w:eastAsia="Times New Roman" w:hAnsi="Arial" w:cs="Arial"/>
          <w:sz w:val="22"/>
          <w:szCs w:val="22"/>
        </w:rPr>
        <w:t>,</w:t>
      </w:r>
      <w:r w:rsidR="00FA766C" w:rsidRPr="00490C3D">
        <w:rPr>
          <w:rFonts w:ascii="Arial" w:eastAsia="Times New Roman" w:hAnsi="Arial" w:cs="Arial"/>
          <w:sz w:val="22"/>
          <w:szCs w:val="22"/>
        </w:rPr>
        <w:t xml:space="preserve"> </w:t>
      </w:r>
      <w:r w:rsidR="00F95D90" w:rsidRPr="00490C3D">
        <w:rPr>
          <w:rFonts w:ascii="Arial" w:eastAsia="Times New Roman" w:hAnsi="Arial" w:cs="Arial"/>
          <w:sz w:val="22"/>
          <w:szCs w:val="22"/>
        </w:rPr>
        <w:t>adeguandoli alle peculiarità del controllo nelle società cooperative.</w:t>
      </w:r>
    </w:p>
    <w:p w14:paraId="13ADE4C9" w14:textId="77777777" w:rsidR="00F95D90" w:rsidRPr="00490C3D" w:rsidRDefault="00F95D90" w:rsidP="00490C3D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443F086" w14:textId="77777777" w:rsidR="00F95D90" w:rsidRPr="00490C3D" w:rsidRDefault="00F95D90" w:rsidP="00490C3D">
      <w:pPr>
        <w:keepNext/>
        <w:keepLines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Vengono così affrontate le disposizioni a carattere obbligatorio di cui:</w:t>
      </w:r>
    </w:p>
    <w:p w14:paraId="6D6F27CF" w14:textId="259784FE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all’art. 2513 c.c. “Criteri per la definizione della prevalenza”,</w:t>
      </w:r>
    </w:p>
    <w:p w14:paraId="5C571606" w14:textId="6C987DFC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all’art. 2545 c.c. “Relazione annuale sul carattere mutualistico della cooperativa” e all’art. 2, comma 2, l. n. 59/1992 “Relazione degli Amministratori e dei sindaci”,</w:t>
      </w:r>
    </w:p>
    <w:p w14:paraId="13F4DEB1" w14:textId="34221642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all’art. 2528 c.c. “Procedura di ammissione e carattere aperto della società”,</w:t>
      </w:r>
    </w:p>
    <w:p w14:paraId="340FDF1A" w14:textId="2B60C813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all’informativa obbligatoria ai soci degli esiti dell’ispezione ordinaria ai sensi dell’art. 15, comma 3, l. n. 59/1992.</w:t>
      </w:r>
    </w:p>
    <w:p w14:paraId="443D98C0" w14:textId="77777777" w:rsidR="00F95D90" w:rsidRPr="00490C3D" w:rsidRDefault="00F95D90" w:rsidP="00490C3D">
      <w:pPr>
        <w:ind w:hanging="284"/>
        <w:jc w:val="both"/>
        <w:rPr>
          <w:rFonts w:ascii="Arial" w:eastAsia="Times New Roman" w:hAnsi="Arial" w:cs="Arial"/>
          <w:sz w:val="22"/>
          <w:szCs w:val="22"/>
        </w:rPr>
      </w:pPr>
    </w:p>
    <w:p w14:paraId="5FEEC821" w14:textId="77777777" w:rsidR="00F95D90" w:rsidRPr="00490C3D" w:rsidRDefault="00F95D90" w:rsidP="00490C3D">
      <w:pPr>
        <w:keepNext/>
        <w:keepLines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Vengono poi messe a disposizione proposte in merito:</w:t>
      </w:r>
    </w:p>
    <w:p w14:paraId="6680721A" w14:textId="5C40C9BB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all’art. 2545-sexies c.c. “Ristorni”;</w:t>
      </w:r>
    </w:p>
    <w:p w14:paraId="68A640A9" w14:textId="4F6C6E1F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alle informazioni sul prestito sociale;</w:t>
      </w:r>
    </w:p>
    <w:p w14:paraId="4D0B7ED7" w14:textId="1BFB4533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alla relazione della società di revisione ai sensi dell’art. 15, comma 2, l. n. 59/1992;</w:t>
      </w:r>
    </w:p>
    <w:p w14:paraId="4D0DEA14" w14:textId="352D57BB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 rispetto della normativa l. n. 381/1991;</w:t>
      </w:r>
    </w:p>
    <w:p w14:paraId="29D9D14A" w14:textId="234827E7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all’eventuale iscrizione all’Albo Cooperative Regionali;</w:t>
      </w:r>
    </w:p>
    <w:p w14:paraId="243EDD6D" w14:textId="6F083C41" w:rsidR="00F95D90" w:rsidRPr="00490C3D" w:rsidRDefault="00F95D90" w:rsidP="00490C3D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90C3D">
        <w:rPr>
          <w:rFonts w:ascii="Arial" w:eastAsia="Times New Roman" w:hAnsi="Arial" w:cs="Arial"/>
          <w:sz w:val="22"/>
          <w:szCs w:val="22"/>
        </w:rPr>
        <w:t>all’eventuale qualifica di Impresa Sociale per le Cooperative non sociali.</w:t>
      </w:r>
    </w:p>
    <w:p w14:paraId="2EF7F37B" w14:textId="057D207B" w:rsidR="00290653" w:rsidRPr="00490C3D" w:rsidRDefault="00290653" w:rsidP="00F95D90">
      <w:pPr>
        <w:jc w:val="center"/>
        <w:rPr>
          <w:rFonts w:ascii="Arial" w:hAnsi="Arial" w:cs="Arial"/>
          <w:b/>
          <w:sz w:val="22"/>
          <w:szCs w:val="22"/>
        </w:rPr>
      </w:pPr>
    </w:p>
    <w:sectPr w:rsidR="00290653" w:rsidRPr="00490C3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5DCC" w14:textId="77777777" w:rsidR="000134AB" w:rsidRDefault="000134AB" w:rsidP="008A20F9">
      <w:r>
        <w:separator/>
      </w:r>
    </w:p>
  </w:endnote>
  <w:endnote w:type="continuationSeparator" w:id="0">
    <w:p w14:paraId="72B7E7E8" w14:textId="77777777" w:rsidR="000134AB" w:rsidRDefault="000134AB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C350" w14:textId="77777777" w:rsidR="000134AB" w:rsidRDefault="000134AB" w:rsidP="008A20F9">
      <w:r>
        <w:separator/>
      </w:r>
    </w:p>
  </w:footnote>
  <w:footnote w:type="continuationSeparator" w:id="0">
    <w:p w14:paraId="7A8F457C" w14:textId="77777777" w:rsidR="000134AB" w:rsidRDefault="000134AB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628E"/>
    <w:multiLevelType w:val="hybridMultilevel"/>
    <w:tmpl w:val="6A98D136"/>
    <w:lvl w:ilvl="0" w:tplc="77A2DD9C">
      <w:numFmt w:val="bullet"/>
      <w:lvlText w:val="·"/>
      <w:lvlJc w:val="left"/>
      <w:pPr>
        <w:ind w:left="727" w:hanging="444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6EB5A5D"/>
    <w:multiLevelType w:val="hybridMultilevel"/>
    <w:tmpl w:val="CC40697C"/>
    <w:lvl w:ilvl="0" w:tplc="F7924CC6">
      <w:numFmt w:val="bullet"/>
      <w:lvlText w:val="•"/>
      <w:lvlJc w:val="left"/>
      <w:pPr>
        <w:ind w:left="1003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A9E36E2"/>
    <w:multiLevelType w:val="hybridMultilevel"/>
    <w:tmpl w:val="5DE6B84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2"/>
      <w:numFmt w:val="bullet"/>
      <w:lvlText w:val="–"/>
      <w:lvlJc w:val="left"/>
      <w:pPr>
        <w:ind w:left="1560" w:hanging="420"/>
      </w:pPr>
      <w:rPr>
        <w:rFonts w:ascii="Garamond" w:eastAsiaTheme="minorEastAsia" w:hAnsi="Garamond" w:cstheme="minorBidi" w:hint="default"/>
      </w:rPr>
    </w:lvl>
    <w:lvl w:ilvl="2" w:tplc="FFFFFFFF">
      <w:numFmt w:val="bullet"/>
      <w:lvlText w:val="•"/>
      <w:lvlJc w:val="left"/>
      <w:pPr>
        <w:ind w:left="2568" w:hanging="708"/>
      </w:pPr>
      <w:rPr>
        <w:rFonts w:ascii="Garamond" w:eastAsiaTheme="minorEastAsia" w:hAnsi="Garamond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81349917">
    <w:abstractNumId w:val="2"/>
  </w:num>
  <w:num w:numId="2" w16cid:durableId="642582449">
    <w:abstractNumId w:val="1"/>
  </w:num>
  <w:num w:numId="3" w16cid:durableId="125084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134AB"/>
    <w:rsid w:val="00036A1E"/>
    <w:rsid w:val="00052BAB"/>
    <w:rsid w:val="00055F3C"/>
    <w:rsid w:val="00073211"/>
    <w:rsid w:val="000816F2"/>
    <w:rsid w:val="00081979"/>
    <w:rsid w:val="00082A9D"/>
    <w:rsid w:val="000A7CC9"/>
    <w:rsid w:val="000C0857"/>
    <w:rsid w:val="000D27AC"/>
    <w:rsid w:val="000E5CC8"/>
    <w:rsid w:val="000E66F1"/>
    <w:rsid w:val="000E7227"/>
    <w:rsid w:val="000F3B82"/>
    <w:rsid w:val="00115409"/>
    <w:rsid w:val="00123117"/>
    <w:rsid w:val="001326DC"/>
    <w:rsid w:val="001429E3"/>
    <w:rsid w:val="00153FCE"/>
    <w:rsid w:val="001569C4"/>
    <w:rsid w:val="00163E33"/>
    <w:rsid w:val="00174B60"/>
    <w:rsid w:val="00181D71"/>
    <w:rsid w:val="00184C9B"/>
    <w:rsid w:val="001936AE"/>
    <w:rsid w:val="00193ECA"/>
    <w:rsid w:val="001F164F"/>
    <w:rsid w:val="00213E08"/>
    <w:rsid w:val="00221FA6"/>
    <w:rsid w:val="00230686"/>
    <w:rsid w:val="002330A2"/>
    <w:rsid w:val="00246A14"/>
    <w:rsid w:val="002509B2"/>
    <w:rsid w:val="00251068"/>
    <w:rsid w:val="00251F37"/>
    <w:rsid w:val="00253393"/>
    <w:rsid w:val="00253551"/>
    <w:rsid w:val="00264425"/>
    <w:rsid w:val="0026577C"/>
    <w:rsid w:val="00271D93"/>
    <w:rsid w:val="00290653"/>
    <w:rsid w:val="002957A8"/>
    <w:rsid w:val="002A3DB7"/>
    <w:rsid w:val="002A6473"/>
    <w:rsid w:val="002D55EB"/>
    <w:rsid w:val="002F0DB7"/>
    <w:rsid w:val="002F4C13"/>
    <w:rsid w:val="002F4F7B"/>
    <w:rsid w:val="00325C28"/>
    <w:rsid w:val="00336F75"/>
    <w:rsid w:val="00383E28"/>
    <w:rsid w:val="00390510"/>
    <w:rsid w:val="0039528E"/>
    <w:rsid w:val="003B396B"/>
    <w:rsid w:val="003F1F36"/>
    <w:rsid w:val="003F7323"/>
    <w:rsid w:val="00403777"/>
    <w:rsid w:val="00410A7B"/>
    <w:rsid w:val="00423A7B"/>
    <w:rsid w:val="00435075"/>
    <w:rsid w:val="00437EA9"/>
    <w:rsid w:val="00453CAC"/>
    <w:rsid w:val="00455CEA"/>
    <w:rsid w:val="00460307"/>
    <w:rsid w:val="00470DE9"/>
    <w:rsid w:val="00475192"/>
    <w:rsid w:val="004808BB"/>
    <w:rsid w:val="00490C3D"/>
    <w:rsid w:val="00495D0D"/>
    <w:rsid w:val="00497CC7"/>
    <w:rsid w:val="004B03D3"/>
    <w:rsid w:val="004E125E"/>
    <w:rsid w:val="004E232F"/>
    <w:rsid w:val="004F2874"/>
    <w:rsid w:val="005001C6"/>
    <w:rsid w:val="005043FB"/>
    <w:rsid w:val="00505E0A"/>
    <w:rsid w:val="00516A45"/>
    <w:rsid w:val="00517A64"/>
    <w:rsid w:val="00524C36"/>
    <w:rsid w:val="00560379"/>
    <w:rsid w:val="0058224D"/>
    <w:rsid w:val="00582A23"/>
    <w:rsid w:val="005839A6"/>
    <w:rsid w:val="005948DF"/>
    <w:rsid w:val="00594B66"/>
    <w:rsid w:val="005A1CDB"/>
    <w:rsid w:val="005D113A"/>
    <w:rsid w:val="00606E78"/>
    <w:rsid w:val="0061470B"/>
    <w:rsid w:val="00616738"/>
    <w:rsid w:val="0063007C"/>
    <w:rsid w:val="006359F9"/>
    <w:rsid w:val="006368B3"/>
    <w:rsid w:val="006406DF"/>
    <w:rsid w:val="0064271E"/>
    <w:rsid w:val="0067508F"/>
    <w:rsid w:val="006A3700"/>
    <w:rsid w:val="006C3DB8"/>
    <w:rsid w:val="006D7DB0"/>
    <w:rsid w:val="006E5E70"/>
    <w:rsid w:val="006F462E"/>
    <w:rsid w:val="00730088"/>
    <w:rsid w:val="007353A0"/>
    <w:rsid w:val="00737AB1"/>
    <w:rsid w:val="00743BC5"/>
    <w:rsid w:val="00750C0F"/>
    <w:rsid w:val="007567C8"/>
    <w:rsid w:val="00781F4E"/>
    <w:rsid w:val="00791A2D"/>
    <w:rsid w:val="0079253B"/>
    <w:rsid w:val="00795EAF"/>
    <w:rsid w:val="007A2D09"/>
    <w:rsid w:val="007A5DF0"/>
    <w:rsid w:val="007B1666"/>
    <w:rsid w:val="007C0DA7"/>
    <w:rsid w:val="007D3A62"/>
    <w:rsid w:val="007E0C83"/>
    <w:rsid w:val="007E4A13"/>
    <w:rsid w:val="007F6A8D"/>
    <w:rsid w:val="0080260A"/>
    <w:rsid w:val="0081321B"/>
    <w:rsid w:val="00814ADB"/>
    <w:rsid w:val="00842C15"/>
    <w:rsid w:val="008435D3"/>
    <w:rsid w:val="00845A07"/>
    <w:rsid w:val="0086719A"/>
    <w:rsid w:val="00881569"/>
    <w:rsid w:val="008A20F9"/>
    <w:rsid w:val="008A68AA"/>
    <w:rsid w:val="008B36DC"/>
    <w:rsid w:val="008B5892"/>
    <w:rsid w:val="008E6D2A"/>
    <w:rsid w:val="008F7875"/>
    <w:rsid w:val="00911316"/>
    <w:rsid w:val="00920E92"/>
    <w:rsid w:val="00935302"/>
    <w:rsid w:val="00960DAA"/>
    <w:rsid w:val="00962933"/>
    <w:rsid w:val="00966243"/>
    <w:rsid w:val="00976B3F"/>
    <w:rsid w:val="009B029E"/>
    <w:rsid w:val="009B49C5"/>
    <w:rsid w:val="009B69D9"/>
    <w:rsid w:val="009D653E"/>
    <w:rsid w:val="009D65D1"/>
    <w:rsid w:val="009D7B64"/>
    <w:rsid w:val="009D7DF7"/>
    <w:rsid w:val="009E7612"/>
    <w:rsid w:val="009F3790"/>
    <w:rsid w:val="00A02CDA"/>
    <w:rsid w:val="00A038F6"/>
    <w:rsid w:val="00A03ED4"/>
    <w:rsid w:val="00A07A27"/>
    <w:rsid w:val="00A21A98"/>
    <w:rsid w:val="00A27EC8"/>
    <w:rsid w:val="00A630AB"/>
    <w:rsid w:val="00A73C0D"/>
    <w:rsid w:val="00A75A96"/>
    <w:rsid w:val="00A76D2F"/>
    <w:rsid w:val="00A83ACB"/>
    <w:rsid w:val="00A87349"/>
    <w:rsid w:val="00A9564E"/>
    <w:rsid w:val="00A961CD"/>
    <w:rsid w:val="00AA50D5"/>
    <w:rsid w:val="00AB3193"/>
    <w:rsid w:val="00AB51FE"/>
    <w:rsid w:val="00AD683B"/>
    <w:rsid w:val="00AE5C47"/>
    <w:rsid w:val="00AE5F1B"/>
    <w:rsid w:val="00AF48E9"/>
    <w:rsid w:val="00AF496D"/>
    <w:rsid w:val="00B15B17"/>
    <w:rsid w:val="00B622FF"/>
    <w:rsid w:val="00B81758"/>
    <w:rsid w:val="00B92B34"/>
    <w:rsid w:val="00BD752B"/>
    <w:rsid w:val="00BE6B22"/>
    <w:rsid w:val="00C03958"/>
    <w:rsid w:val="00C21F54"/>
    <w:rsid w:val="00C32D04"/>
    <w:rsid w:val="00C42F53"/>
    <w:rsid w:val="00C54A7A"/>
    <w:rsid w:val="00C653DB"/>
    <w:rsid w:val="00C71E02"/>
    <w:rsid w:val="00C751BF"/>
    <w:rsid w:val="00C8258D"/>
    <w:rsid w:val="00C93E34"/>
    <w:rsid w:val="00C96A85"/>
    <w:rsid w:val="00CC5721"/>
    <w:rsid w:val="00CC7EBC"/>
    <w:rsid w:val="00CD6241"/>
    <w:rsid w:val="00D4253F"/>
    <w:rsid w:val="00D52088"/>
    <w:rsid w:val="00D65DC6"/>
    <w:rsid w:val="00D66040"/>
    <w:rsid w:val="00DA19F5"/>
    <w:rsid w:val="00DA610A"/>
    <w:rsid w:val="00DC26A1"/>
    <w:rsid w:val="00DC7953"/>
    <w:rsid w:val="00DD42BD"/>
    <w:rsid w:val="00DD4CF8"/>
    <w:rsid w:val="00DE22D9"/>
    <w:rsid w:val="00E01B44"/>
    <w:rsid w:val="00E31675"/>
    <w:rsid w:val="00E33560"/>
    <w:rsid w:val="00E520F8"/>
    <w:rsid w:val="00E63630"/>
    <w:rsid w:val="00E73941"/>
    <w:rsid w:val="00E8677B"/>
    <w:rsid w:val="00E86F94"/>
    <w:rsid w:val="00E87288"/>
    <w:rsid w:val="00E926E5"/>
    <w:rsid w:val="00EB5AB7"/>
    <w:rsid w:val="00EC353A"/>
    <w:rsid w:val="00ED0CDD"/>
    <w:rsid w:val="00EE4E51"/>
    <w:rsid w:val="00EE76A6"/>
    <w:rsid w:val="00EF333C"/>
    <w:rsid w:val="00EF7264"/>
    <w:rsid w:val="00F01297"/>
    <w:rsid w:val="00F01E5E"/>
    <w:rsid w:val="00F12E3B"/>
    <w:rsid w:val="00F72001"/>
    <w:rsid w:val="00F94166"/>
    <w:rsid w:val="00F95D90"/>
    <w:rsid w:val="00FA766C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docId w15:val="{278ADFC4-915E-40D7-BFAD-5B59AD0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D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DB8"/>
    <w:rPr>
      <w:rFonts w:ascii="Tahoma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2026-04-01T11:58:00Z</dcterms:created>
  <dcterms:modified xsi:type="dcterms:W3CDTF">2026-04-01T12:03:00Z</dcterms:modified>
</cp:coreProperties>
</file>