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F181" w14:textId="77777777" w:rsidR="00E57E76" w:rsidRPr="00950B3B" w:rsidRDefault="00E57E76" w:rsidP="00950B3B">
      <w:pPr>
        <w:jc w:val="both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1182451F" w14:textId="1DC93C93" w:rsidR="00E30E7A" w:rsidRDefault="00E30E7A" w:rsidP="006B63E7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6B63E7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52FA6AD2" w14:textId="77777777" w:rsidR="006B63E7" w:rsidRPr="006B63E7" w:rsidRDefault="006B63E7" w:rsidP="006B63E7">
      <w:pPr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4E3DFB4F" w14:textId="20251CBB" w:rsidR="006603D8" w:rsidRDefault="006603D8" w:rsidP="006B63E7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B63E7">
        <w:rPr>
          <w:rFonts w:ascii="Arial" w:hAnsi="Arial" w:cs="Arial"/>
          <w:b/>
          <w:bCs/>
          <w:color w:val="000000"/>
          <w:sz w:val="23"/>
          <w:szCs w:val="23"/>
        </w:rPr>
        <w:t>SOSTENIBILIT</w:t>
      </w:r>
      <w:r w:rsidR="0055064E">
        <w:rPr>
          <w:rFonts w:ascii="Arial" w:hAnsi="Arial" w:cs="Arial"/>
          <w:b/>
          <w:bCs/>
          <w:color w:val="000000"/>
          <w:sz w:val="23"/>
          <w:szCs w:val="23"/>
        </w:rPr>
        <w:t>À</w:t>
      </w:r>
      <w:r w:rsidRPr="006B63E7">
        <w:rPr>
          <w:rFonts w:ascii="Arial" w:hAnsi="Arial" w:cs="Arial"/>
          <w:b/>
          <w:bCs/>
          <w:color w:val="000000"/>
          <w:sz w:val="23"/>
          <w:szCs w:val="23"/>
        </w:rPr>
        <w:t>, DAI COMMERCIALISTI UN FOCUS SU</w:t>
      </w:r>
      <w:r w:rsidR="008002A9" w:rsidRPr="006B63E7">
        <w:rPr>
          <w:rFonts w:ascii="Arial" w:hAnsi="Arial" w:cs="Arial"/>
          <w:b/>
          <w:bCs/>
          <w:color w:val="000000"/>
          <w:sz w:val="23"/>
          <w:szCs w:val="23"/>
        </w:rPr>
        <w:t xml:space="preserve">I FATTORI ESG NELLE </w:t>
      </w:r>
      <w:r w:rsidRPr="006B63E7">
        <w:rPr>
          <w:rFonts w:ascii="Arial" w:hAnsi="Arial" w:cs="Arial"/>
          <w:b/>
          <w:bCs/>
          <w:color w:val="000000"/>
          <w:sz w:val="23"/>
          <w:szCs w:val="23"/>
        </w:rPr>
        <w:t>SOCIET</w:t>
      </w:r>
      <w:r w:rsidR="0055064E">
        <w:rPr>
          <w:rFonts w:ascii="Arial" w:hAnsi="Arial" w:cs="Arial"/>
          <w:b/>
          <w:bCs/>
          <w:color w:val="000000"/>
          <w:sz w:val="23"/>
          <w:szCs w:val="23"/>
        </w:rPr>
        <w:t xml:space="preserve">À </w:t>
      </w:r>
      <w:r w:rsidRPr="006B63E7">
        <w:rPr>
          <w:rFonts w:ascii="Arial" w:hAnsi="Arial" w:cs="Arial"/>
          <w:b/>
          <w:bCs/>
          <w:color w:val="000000"/>
          <w:sz w:val="23"/>
          <w:szCs w:val="23"/>
        </w:rPr>
        <w:t>BENEFIT</w:t>
      </w:r>
    </w:p>
    <w:p w14:paraId="2B3B0081" w14:textId="77777777" w:rsidR="006B63E7" w:rsidRPr="006B63E7" w:rsidRDefault="006B63E7" w:rsidP="006B63E7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DBC9935" w14:textId="21F96509" w:rsidR="006603D8" w:rsidRPr="006B63E7" w:rsidRDefault="006603D8" w:rsidP="006B63E7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B63E7">
        <w:rPr>
          <w:rFonts w:ascii="Arial" w:hAnsi="Arial" w:cs="Arial"/>
          <w:b/>
          <w:bCs/>
          <w:color w:val="000000"/>
          <w:sz w:val="23"/>
          <w:szCs w:val="23"/>
        </w:rPr>
        <w:t xml:space="preserve">Consiglio e </w:t>
      </w:r>
      <w:r w:rsidR="001D2BA2">
        <w:rPr>
          <w:rFonts w:ascii="Arial" w:hAnsi="Arial" w:cs="Arial"/>
          <w:b/>
          <w:bCs/>
          <w:color w:val="000000"/>
          <w:sz w:val="23"/>
          <w:szCs w:val="23"/>
        </w:rPr>
        <w:t>F</w:t>
      </w:r>
      <w:r w:rsidRPr="006B63E7">
        <w:rPr>
          <w:rFonts w:ascii="Arial" w:hAnsi="Arial" w:cs="Arial"/>
          <w:b/>
          <w:bCs/>
          <w:color w:val="000000"/>
          <w:sz w:val="23"/>
          <w:szCs w:val="23"/>
        </w:rPr>
        <w:t xml:space="preserve">ondazione nazionali della categoria pubblicano il secondo dei </w:t>
      </w:r>
      <w:r w:rsidR="001D2BA2">
        <w:rPr>
          <w:rFonts w:ascii="Arial" w:hAnsi="Arial" w:cs="Arial"/>
          <w:b/>
          <w:bCs/>
          <w:color w:val="000000"/>
          <w:sz w:val="23"/>
          <w:szCs w:val="23"/>
        </w:rPr>
        <w:t>Q</w:t>
      </w:r>
      <w:r w:rsidRPr="006B63E7">
        <w:rPr>
          <w:rFonts w:ascii="Arial" w:hAnsi="Arial" w:cs="Arial"/>
          <w:b/>
          <w:bCs/>
          <w:color w:val="000000"/>
          <w:sz w:val="23"/>
          <w:szCs w:val="23"/>
        </w:rPr>
        <w:t xml:space="preserve">uaderni dedicati </w:t>
      </w:r>
      <w:r w:rsidRPr="006B63E7">
        <w:rPr>
          <w:rFonts w:ascii="Arial" w:hAnsi="Arial" w:cs="Arial"/>
          <w:b/>
          <w:bCs/>
          <w:sz w:val="23"/>
          <w:szCs w:val="23"/>
        </w:rPr>
        <w:t>al rapporto tra governance, finanza aziendale e sostenibilità. Esplorat</w:t>
      </w:r>
      <w:r w:rsidR="007119C0" w:rsidRPr="006B63E7">
        <w:rPr>
          <w:rFonts w:ascii="Arial" w:hAnsi="Arial" w:cs="Arial"/>
          <w:b/>
          <w:bCs/>
          <w:sz w:val="23"/>
          <w:szCs w:val="23"/>
        </w:rPr>
        <w:t>a</w:t>
      </w:r>
      <w:r w:rsidRPr="006B63E7">
        <w:rPr>
          <w:rFonts w:ascii="Arial" w:hAnsi="Arial" w:cs="Arial"/>
          <w:b/>
          <w:bCs/>
          <w:sz w:val="23"/>
          <w:szCs w:val="23"/>
        </w:rPr>
        <w:t xml:space="preserve"> l'in</w:t>
      </w:r>
      <w:r w:rsidR="007119C0" w:rsidRPr="006B63E7">
        <w:rPr>
          <w:rFonts w:ascii="Arial" w:hAnsi="Arial" w:cs="Arial"/>
          <w:b/>
          <w:bCs/>
          <w:sz w:val="23"/>
          <w:szCs w:val="23"/>
        </w:rPr>
        <w:t xml:space="preserve">dividuazione </w:t>
      </w:r>
      <w:r w:rsidR="008002A9" w:rsidRPr="006B63E7">
        <w:rPr>
          <w:rFonts w:ascii="Arial" w:hAnsi="Arial" w:cs="Arial"/>
          <w:b/>
          <w:bCs/>
          <w:sz w:val="23"/>
          <w:szCs w:val="23"/>
        </w:rPr>
        <w:t xml:space="preserve">di primari elementi </w:t>
      </w:r>
      <w:r w:rsidR="007119C0" w:rsidRPr="006B63E7">
        <w:rPr>
          <w:rFonts w:ascii="Arial" w:hAnsi="Arial" w:cs="Arial"/>
          <w:b/>
          <w:bCs/>
          <w:sz w:val="23"/>
          <w:szCs w:val="23"/>
        </w:rPr>
        <w:t xml:space="preserve">della sostenibilità nella governance </w:t>
      </w:r>
      <w:r w:rsidRPr="006B63E7">
        <w:rPr>
          <w:rFonts w:ascii="Arial" w:hAnsi="Arial" w:cs="Arial"/>
          <w:b/>
          <w:bCs/>
          <w:sz w:val="23"/>
          <w:szCs w:val="23"/>
        </w:rPr>
        <w:t>delle SB</w:t>
      </w:r>
    </w:p>
    <w:p w14:paraId="13765877" w14:textId="77777777" w:rsidR="006603D8" w:rsidRPr="006B63E7" w:rsidRDefault="006603D8" w:rsidP="006B63E7">
      <w:pPr>
        <w:jc w:val="both"/>
        <w:rPr>
          <w:rFonts w:ascii="Arial" w:hAnsi="Arial" w:cs="Arial"/>
          <w:i/>
          <w:iCs/>
          <w:sz w:val="23"/>
          <w:szCs w:val="23"/>
        </w:rPr>
      </w:pPr>
    </w:p>
    <w:p w14:paraId="2EFE8759" w14:textId="77777777" w:rsidR="001D2BA2" w:rsidRDefault="000914E5" w:rsidP="006B63E7">
      <w:pPr>
        <w:jc w:val="both"/>
        <w:rPr>
          <w:rFonts w:ascii="Arial" w:hAnsi="Arial" w:cs="Arial"/>
          <w:sz w:val="23"/>
          <w:szCs w:val="23"/>
        </w:rPr>
      </w:pPr>
      <w:r w:rsidRPr="006B63E7">
        <w:rPr>
          <w:rFonts w:ascii="Arial" w:hAnsi="Arial" w:cs="Arial"/>
          <w:i/>
          <w:iCs/>
          <w:sz w:val="23"/>
          <w:szCs w:val="23"/>
        </w:rPr>
        <w:t xml:space="preserve">Roma, 26 marzo 2026 </w:t>
      </w:r>
      <w:r w:rsidR="0077621F" w:rsidRPr="006B63E7">
        <w:rPr>
          <w:rFonts w:ascii="Arial" w:hAnsi="Arial" w:cs="Arial"/>
          <w:i/>
          <w:iCs/>
          <w:sz w:val="23"/>
          <w:szCs w:val="23"/>
        </w:rPr>
        <w:t>–</w:t>
      </w:r>
      <w:r w:rsidRPr="006B63E7">
        <w:rPr>
          <w:rFonts w:ascii="Arial" w:hAnsi="Arial" w:cs="Arial"/>
          <w:sz w:val="23"/>
          <w:szCs w:val="23"/>
        </w:rPr>
        <w:t xml:space="preserve"> </w:t>
      </w:r>
      <w:r w:rsidR="0077621F" w:rsidRPr="006B63E7">
        <w:rPr>
          <w:rFonts w:ascii="Arial" w:hAnsi="Arial" w:cs="Arial"/>
          <w:sz w:val="23"/>
          <w:szCs w:val="23"/>
        </w:rPr>
        <w:t xml:space="preserve">Il Consiglio e la Fondazione nazionali dei commercialisti hanno pubblicato il </w:t>
      </w:r>
      <w:r w:rsidR="00F31DE2" w:rsidRPr="006B63E7">
        <w:rPr>
          <w:rFonts w:ascii="Arial" w:hAnsi="Arial" w:cs="Arial"/>
          <w:sz w:val="23"/>
          <w:szCs w:val="23"/>
        </w:rPr>
        <w:t>Quaderno</w:t>
      </w:r>
      <w:r w:rsidR="0077621F" w:rsidRPr="006B63E7">
        <w:rPr>
          <w:rFonts w:ascii="Arial" w:hAnsi="Arial" w:cs="Arial"/>
          <w:sz w:val="23"/>
          <w:szCs w:val="23"/>
        </w:rPr>
        <w:t xml:space="preserve"> “</w:t>
      </w:r>
      <w:r w:rsidR="0077621F" w:rsidRPr="006B63E7">
        <w:rPr>
          <w:rFonts w:ascii="Arial" w:hAnsi="Arial" w:cs="Arial"/>
          <w:b/>
          <w:bCs/>
          <w:sz w:val="23"/>
          <w:szCs w:val="23"/>
        </w:rPr>
        <w:t xml:space="preserve">Normativa societaria e opportunità tra finanza e sostenibilità - </w:t>
      </w:r>
      <w:r w:rsidR="00F31DE2" w:rsidRPr="006B63E7">
        <w:rPr>
          <w:rFonts w:ascii="Arial" w:hAnsi="Arial" w:cs="Arial"/>
          <w:b/>
          <w:bCs/>
          <w:sz w:val="23"/>
          <w:szCs w:val="23"/>
        </w:rPr>
        <w:t>S</w:t>
      </w:r>
      <w:r w:rsidR="0077621F" w:rsidRPr="006B63E7">
        <w:rPr>
          <w:rFonts w:ascii="Arial" w:hAnsi="Arial" w:cs="Arial"/>
          <w:b/>
          <w:bCs/>
          <w:sz w:val="23"/>
          <w:szCs w:val="23"/>
        </w:rPr>
        <w:t>ocietà benefit</w:t>
      </w:r>
      <w:r w:rsidR="0077621F" w:rsidRPr="006B63E7">
        <w:rPr>
          <w:rFonts w:ascii="Arial" w:hAnsi="Arial" w:cs="Arial"/>
          <w:sz w:val="23"/>
          <w:szCs w:val="23"/>
        </w:rPr>
        <w:t xml:space="preserve">”, realizzato dalla Commissione </w:t>
      </w:r>
      <w:r w:rsidR="00950B3B" w:rsidRPr="006B63E7">
        <w:rPr>
          <w:rFonts w:ascii="Arial" w:hAnsi="Arial" w:cs="Arial"/>
          <w:sz w:val="23"/>
          <w:szCs w:val="23"/>
        </w:rPr>
        <w:t>“</w:t>
      </w:r>
      <w:r w:rsidR="0077621F" w:rsidRPr="006B63E7">
        <w:rPr>
          <w:rFonts w:ascii="Arial" w:hAnsi="Arial" w:cs="Arial"/>
          <w:sz w:val="23"/>
          <w:szCs w:val="23"/>
        </w:rPr>
        <w:t>Governance e finanza</w:t>
      </w:r>
      <w:r w:rsidR="00950B3B" w:rsidRPr="006B63E7">
        <w:rPr>
          <w:rFonts w:ascii="Arial" w:hAnsi="Arial" w:cs="Arial"/>
          <w:sz w:val="23"/>
          <w:szCs w:val="23"/>
        </w:rPr>
        <w:t>”</w:t>
      </w:r>
      <w:r w:rsidR="0077621F" w:rsidRPr="006B63E7">
        <w:rPr>
          <w:rFonts w:ascii="Arial" w:hAnsi="Arial" w:cs="Arial"/>
          <w:b/>
          <w:sz w:val="23"/>
          <w:szCs w:val="23"/>
        </w:rPr>
        <w:t xml:space="preserve"> </w:t>
      </w:r>
      <w:r w:rsidR="0077621F" w:rsidRPr="006B63E7">
        <w:rPr>
          <w:rFonts w:ascii="Arial" w:hAnsi="Arial" w:cs="Arial"/>
          <w:bCs/>
          <w:sz w:val="23"/>
          <w:szCs w:val="23"/>
        </w:rPr>
        <w:t>presieduta da</w:t>
      </w:r>
      <w:r w:rsidR="0077621F" w:rsidRPr="006B63E7">
        <w:rPr>
          <w:rFonts w:ascii="Arial" w:hAnsi="Arial" w:cs="Arial"/>
          <w:b/>
          <w:sz w:val="23"/>
          <w:szCs w:val="23"/>
        </w:rPr>
        <w:t xml:space="preserve"> </w:t>
      </w:r>
      <w:r w:rsidR="0077621F" w:rsidRPr="006B63E7">
        <w:rPr>
          <w:rFonts w:ascii="Arial" w:hAnsi="Arial" w:cs="Arial"/>
          <w:b/>
          <w:bCs/>
          <w:sz w:val="23"/>
          <w:szCs w:val="23"/>
        </w:rPr>
        <w:t>Paolo Vernero</w:t>
      </w:r>
      <w:r w:rsidR="0077621F" w:rsidRPr="006B63E7">
        <w:rPr>
          <w:rFonts w:ascii="Arial" w:hAnsi="Arial" w:cs="Arial"/>
          <w:sz w:val="23"/>
          <w:szCs w:val="23"/>
        </w:rPr>
        <w:t xml:space="preserve">, operante all’interno dell’area di delega del Consiglio nazionale </w:t>
      </w:r>
      <w:r w:rsidR="0077621F" w:rsidRPr="006B63E7">
        <w:rPr>
          <w:rFonts w:ascii="Arial" w:eastAsia="Calibri" w:hAnsi="Arial" w:cs="Arial"/>
          <w:bCs/>
          <w:sz w:val="23"/>
          <w:szCs w:val="23"/>
          <w:lang w:eastAsia="en-US"/>
        </w:rPr>
        <w:t>“</w:t>
      </w:r>
      <w:r w:rsidR="0077621F" w:rsidRPr="006B63E7">
        <w:rPr>
          <w:rFonts w:ascii="Arial" w:hAnsi="Arial" w:cs="Arial"/>
          <w:sz w:val="23"/>
          <w:szCs w:val="23"/>
        </w:rPr>
        <w:t xml:space="preserve">Sviluppo sostenibile”, alla quale è delegato il consigliere nazionale </w:t>
      </w:r>
      <w:r w:rsidR="0077621F" w:rsidRPr="006B63E7">
        <w:rPr>
          <w:rFonts w:ascii="Arial" w:hAnsi="Arial" w:cs="Arial"/>
          <w:b/>
          <w:bCs/>
          <w:sz w:val="23"/>
          <w:szCs w:val="23"/>
        </w:rPr>
        <w:t>Gian Luca Galletti</w:t>
      </w:r>
      <w:r w:rsidR="0077621F" w:rsidRPr="006B63E7">
        <w:rPr>
          <w:rFonts w:ascii="Arial" w:hAnsi="Arial" w:cs="Arial"/>
          <w:sz w:val="23"/>
          <w:szCs w:val="23"/>
        </w:rPr>
        <w:t>.</w:t>
      </w:r>
    </w:p>
    <w:p w14:paraId="5E84C0CD" w14:textId="77777777" w:rsidR="001D2BA2" w:rsidRDefault="001D2BA2" w:rsidP="006B63E7">
      <w:pPr>
        <w:jc w:val="both"/>
        <w:rPr>
          <w:rFonts w:ascii="Arial" w:hAnsi="Arial" w:cs="Arial"/>
          <w:sz w:val="23"/>
          <w:szCs w:val="23"/>
        </w:rPr>
      </w:pPr>
    </w:p>
    <w:p w14:paraId="106C492D" w14:textId="5273FD0D" w:rsidR="006B63E7" w:rsidRDefault="00F31DE2" w:rsidP="006B63E7">
      <w:pPr>
        <w:jc w:val="both"/>
        <w:rPr>
          <w:rFonts w:ascii="Arial" w:hAnsi="Arial" w:cs="Arial"/>
          <w:b/>
          <w:sz w:val="23"/>
          <w:szCs w:val="23"/>
        </w:rPr>
      </w:pPr>
      <w:r w:rsidRPr="006B63E7">
        <w:rPr>
          <w:rFonts w:ascii="Arial" w:hAnsi="Arial" w:cs="Arial"/>
          <w:sz w:val="23"/>
          <w:szCs w:val="23"/>
        </w:rPr>
        <w:t xml:space="preserve">Questo Quaderno costituisce il secondo di una serie </w:t>
      </w:r>
      <w:r w:rsidR="007119C0" w:rsidRPr="006B63E7">
        <w:rPr>
          <w:rFonts w:ascii="Arial" w:hAnsi="Arial" w:cs="Arial"/>
          <w:sz w:val="23"/>
          <w:szCs w:val="23"/>
        </w:rPr>
        <w:t xml:space="preserve">di elaborati </w:t>
      </w:r>
      <w:r w:rsidRPr="006B63E7">
        <w:rPr>
          <w:rFonts w:ascii="Arial" w:hAnsi="Arial" w:cs="Arial"/>
          <w:sz w:val="23"/>
          <w:szCs w:val="23"/>
        </w:rPr>
        <w:t xml:space="preserve">dedicata a specifici argomenti inerenti al rapporto tra governance, finanza aziendale e sostenibilità e </w:t>
      </w:r>
      <w:r w:rsidR="007119C0" w:rsidRPr="006B63E7">
        <w:rPr>
          <w:rFonts w:ascii="Arial" w:hAnsi="Arial" w:cs="Arial"/>
          <w:sz w:val="23"/>
          <w:szCs w:val="23"/>
        </w:rPr>
        <w:t>prova a inquadrare</w:t>
      </w:r>
      <w:r w:rsidRPr="006B63E7">
        <w:rPr>
          <w:rFonts w:ascii="Arial" w:hAnsi="Arial" w:cs="Arial"/>
          <w:sz w:val="23"/>
          <w:szCs w:val="23"/>
        </w:rPr>
        <w:t>, in maniera lineare e schematica,</w:t>
      </w:r>
      <w:r w:rsidR="007119C0" w:rsidRPr="006B63E7">
        <w:rPr>
          <w:rFonts w:ascii="Arial" w:hAnsi="Arial" w:cs="Arial"/>
          <w:sz w:val="23"/>
          <w:szCs w:val="23"/>
        </w:rPr>
        <w:t xml:space="preserve"> il rapporto e la convergenza tra la valutazione e la rendicontazione di impatti, rischi e opportunità in materia di sostenibilità e i principi propri della qualifica giuridico-societaria “società benefit”:</w:t>
      </w:r>
      <w:r w:rsidR="00994AF4" w:rsidRPr="006B63E7">
        <w:rPr>
          <w:rFonts w:ascii="Arial" w:hAnsi="Arial" w:cs="Arial"/>
          <w:sz w:val="23"/>
          <w:szCs w:val="23"/>
        </w:rPr>
        <w:t xml:space="preserve"> di questo istituto si evidenziano taluni specifici </w:t>
      </w:r>
      <w:r w:rsidRPr="006B63E7">
        <w:rPr>
          <w:rFonts w:ascii="Arial" w:hAnsi="Arial" w:cs="Arial"/>
          <w:b/>
          <w:bCs/>
          <w:sz w:val="23"/>
          <w:szCs w:val="23"/>
        </w:rPr>
        <w:t>profili di diritto e di merito</w:t>
      </w:r>
      <w:r w:rsidRPr="006B63E7">
        <w:rPr>
          <w:rFonts w:ascii="Arial" w:hAnsi="Arial" w:cs="Arial"/>
          <w:sz w:val="23"/>
          <w:szCs w:val="23"/>
        </w:rPr>
        <w:t xml:space="preserve">, </w:t>
      </w:r>
      <w:r w:rsidR="00994AF4" w:rsidRPr="006B63E7">
        <w:rPr>
          <w:rFonts w:ascii="Arial" w:hAnsi="Arial" w:cs="Arial"/>
          <w:sz w:val="23"/>
          <w:szCs w:val="23"/>
        </w:rPr>
        <w:t>rimarcando</w:t>
      </w:r>
      <w:r w:rsidRPr="006B63E7">
        <w:rPr>
          <w:rFonts w:ascii="Arial" w:hAnsi="Arial" w:cs="Arial"/>
          <w:sz w:val="23"/>
          <w:szCs w:val="23"/>
        </w:rPr>
        <w:t xml:space="preserve">, in specie per i secondi, alcuni </w:t>
      </w:r>
      <w:r w:rsidR="001D2BA2">
        <w:rPr>
          <w:rFonts w:ascii="Arial" w:hAnsi="Arial" w:cs="Arial"/>
          <w:sz w:val="23"/>
          <w:szCs w:val="23"/>
        </w:rPr>
        <w:t>loro</w:t>
      </w:r>
      <w:r w:rsidRPr="006B63E7">
        <w:rPr>
          <w:rFonts w:ascii="Arial" w:hAnsi="Arial" w:cs="Arial"/>
          <w:sz w:val="23"/>
          <w:szCs w:val="23"/>
        </w:rPr>
        <w:t xml:space="preserve"> elementi costitutivi che generano riflessi non secondari nello sviluppo dei più adeguati aspetti di governance di cui dotare tale tipologia di organizzazioni</w:t>
      </w:r>
      <w:r w:rsidR="00994AF4" w:rsidRPr="006B63E7">
        <w:rPr>
          <w:rFonts w:ascii="Arial" w:hAnsi="Arial" w:cs="Arial"/>
          <w:sz w:val="23"/>
          <w:szCs w:val="23"/>
        </w:rPr>
        <w:t xml:space="preserve"> in funzione della gestione dei fattori</w:t>
      </w:r>
      <w:r w:rsidR="00953FF4" w:rsidRPr="006B63E7">
        <w:rPr>
          <w:rFonts w:ascii="Arial" w:hAnsi="Arial" w:cs="Arial"/>
          <w:sz w:val="23"/>
          <w:szCs w:val="23"/>
        </w:rPr>
        <w:t xml:space="preserve"> </w:t>
      </w:r>
      <w:r w:rsidR="00953FF4" w:rsidRPr="006B63E7">
        <w:rPr>
          <w:rFonts w:ascii="Arial" w:hAnsi="Arial" w:cs="Arial"/>
          <w:i/>
          <w:iCs/>
          <w:sz w:val="23"/>
          <w:szCs w:val="23"/>
        </w:rPr>
        <w:t>environmental</w:t>
      </w:r>
      <w:r w:rsidR="00953FF4" w:rsidRPr="006B63E7">
        <w:rPr>
          <w:rFonts w:ascii="Arial" w:hAnsi="Arial" w:cs="Arial"/>
          <w:sz w:val="23"/>
          <w:szCs w:val="23"/>
        </w:rPr>
        <w:t xml:space="preserve">, </w:t>
      </w:r>
      <w:r w:rsidR="00953FF4" w:rsidRPr="006B63E7">
        <w:rPr>
          <w:rFonts w:ascii="Arial" w:hAnsi="Arial" w:cs="Arial"/>
          <w:i/>
          <w:iCs/>
          <w:sz w:val="23"/>
          <w:szCs w:val="23"/>
        </w:rPr>
        <w:t xml:space="preserve">social </w:t>
      </w:r>
      <w:r w:rsidR="00953FF4" w:rsidRPr="006B63E7">
        <w:rPr>
          <w:rFonts w:ascii="Arial" w:hAnsi="Arial" w:cs="Arial"/>
          <w:sz w:val="23"/>
          <w:szCs w:val="23"/>
        </w:rPr>
        <w:t>e</w:t>
      </w:r>
      <w:r w:rsidR="00953FF4" w:rsidRPr="006B63E7">
        <w:rPr>
          <w:rFonts w:ascii="Arial" w:hAnsi="Arial" w:cs="Arial"/>
          <w:i/>
          <w:iCs/>
          <w:sz w:val="23"/>
          <w:szCs w:val="23"/>
        </w:rPr>
        <w:t xml:space="preserve"> governance</w:t>
      </w:r>
      <w:r w:rsidR="00953FF4" w:rsidRPr="006B63E7">
        <w:rPr>
          <w:rFonts w:ascii="Arial" w:hAnsi="Arial" w:cs="Arial"/>
          <w:sz w:val="23"/>
          <w:szCs w:val="23"/>
        </w:rPr>
        <w:t xml:space="preserve"> (ESG)</w:t>
      </w:r>
      <w:r w:rsidRPr="006B63E7">
        <w:rPr>
          <w:rFonts w:ascii="Arial" w:hAnsi="Arial" w:cs="Arial"/>
          <w:sz w:val="23"/>
          <w:szCs w:val="23"/>
        </w:rPr>
        <w:t>.</w:t>
      </w:r>
    </w:p>
    <w:p w14:paraId="206B9FA8" w14:textId="77777777" w:rsidR="006B63E7" w:rsidRDefault="006B63E7" w:rsidP="006B63E7">
      <w:pPr>
        <w:jc w:val="both"/>
        <w:rPr>
          <w:rFonts w:ascii="Arial" w:hAnsi="Arial" w:cs="Arial"/>
          <w:b/>
          <w:sz w:val="23"/>
          <w:szCs w:val="23"/>
        </w:rPr>
      </w:pPr>
    </w:p>
    <w:p w14:paraId="235A26F0" w14:textId="46206A67" w:rsidR="00950B3B" w:rsidRPr="006B63E7" w:rsidRDefault="00BB10F5" w:rsidP="006B63E7">
      <w:pPr>
        <w:jc w:val="both"/>
        <w:rPr>
          <w:rFonts w:ascii="Arial" w:hAnsi="Arial" w:cs="Arial"/>
          <w:b/>
          <w:sz w:val="23"/>
          <w:szCs w:val="23"/>
        </w:rPr>
      </w:pPr>
      <w:r w:rsidRPr="006B63E7">
        <w:rPr>
          <w:rFonts w:ascii="Arial" w:hAnsi="Arial" w:cs="Arial"/>
          <w:sz w:val="23"/>
          <w:szCs w:val="23"/>
        </w:rPr>
        <w:t>L’istituzione e l’evoluzione</w:t>
      </w:r>
      <w:r w:rsidR="00F31DE2" w:rsidRPr="006B63E7">
        <w:rPr>
          <w:rFonts w:ascii="Arial" w:hAnsi="Arial" w:cs="Arial"/>
          <w:sz w:val="23"/>
          <w:szCs w:val="23"/>
        </w:rPr>
        <w:t xml:space="preserve"> </w:t>
      </w:r>
      <w:r w:rsidRPr="006B63E7">
        <w:rPr>
          <w:rFonts w:ascii="Arial" w:hAnsi="Arial" w:cs="Arial"/>
          <w:sz w:val="23"/>
          <w:szCs w:val="23"/>
        </w:rPr>
        <w:t>delle Società Benefit (SB) rappresenta</w:t>
      </w:r>
      <w:r w:rsidR="001D2BA2">
        <w:rPr>
          <w:rFonts w:ascii="Arial" w:hAnsi="Arial" w:cs="Arial"/>
          <w:sz w:val="23"/>
          <w:szCs w:val="23"/>
        </w:rPr>
        <w:t>no</w:t>
      </w:r>
      <w:r w:rsidRPr="006B63E7">
        <w:rPr>
          <w:rFonts w:ascii="Arial" w:hAnsi="Arial" w:cs="Arial"/>
          <w:sz w:val="23"/>
          <w:szCs w:val="23"/>
        </w:rPr>
        <w:t xml:space="preserve"> una delle trasformazioni </w:t>
      </w:r>
      <w:r w:rsidRPr="006B63E7">
        <w:rPr>
          <w:rFonts w:ascii="Arial" w:hAnsi="Arial" w:cs="Arial"/>
          <w:b/>
          <w:bCs/>
          <w:sz w:val="23"/>
          <w:szCs w:val="23"/>
        </w:rPr>
        <w:t>più significative</w:t>
      </w:r>
      <w:r w:rsidRPr="006B63E7">
        <w:rPr>
          <w:rFonts w:ascii="Arial" w:hAnsi="Arial" w:cs="Arial"/>
          <w:sz w:val="23"/>
          <w:szCs w:val="23"/>
        </w:rPr>
        <w:t xml:space="preserve"> del sistema imprenditoriale contemporaneo. In risposta alle nuove sfide economiche, ambientali e sociali, questo modello introduce un paradigma che integra </w:t>
      </w:r>
      <w:r w:rsidRPr="006B63E7">
        <w:rPr>
          <w:rFonts w:ascii="Arial" w:hAnsi="Arial" w:cs="Arial"/>
          <w:b/>
          <w:bCs/>
          <w:sz w:val="23"/>
          <w:szCs w:val="23"/>
        </w:rPr>
        <w:t>la ricerca del profitto con la generazione di valore condiviso</w:t>
      </w:r>
      <w:r w:rsidRPr="006B63E7">
        <w:rPr>
          <w:rFonts w:ascii="Arial" w:hAnsi="Arial" w:cs="Arial"/>
          <w:sz w:val="23"/>
          <w:szCs w:val="23"/>
        </w:rPr>
        <w:t xml:space="preserve">, promuovendo una governance </w:t>
      </w:r>
      <w:r w:rsidRPr="006B63E7">
        <w:rPr>
          <w:rFonts w:ascii="Arial" w:hAnsi="Arial" w:cs="Arial"/>
          <w:b/>
          <w:bCs/>
          <w:sz w:val="23"/>
          <w:szCs w:val="23"/>
        </w:rPr>
        <w:t>responsabile</w:t>
      </w:r>
      <w:r w:rsidRPr="006B63E7">
        <w:rPr>
          <w:rFonts w:ascii="Arial" w:hAnsi="Arial" w:cs="Arial"/>
          <w:sz w:val="23"/>
          <w:szCs w:val="23"/>
        </w:rPr>
        <w:t xml:space="preserve"> e orientata agli stakeholder</w:t>
      </w:r>
      <w:r w:rsidR="00994AF4" w:rsidRPr="006B63E7">
        <w:rPr>
          <w:rFonts w:ascii="Arial" w:hAnsi="Arial" w:cs="Arial"/>
          <w:sz w:val="23"/>
          <w:szCs w:val="23"/>
        </w:rPr>
        <w:t xml:space="preserve"> col suo riferimento al </w:t>
      </w:r>
      <w:r w:rsidR="00950B3B" w:rsidRPr="006B63E7">
        <w:rPr>
          <w:rFonts w:ascii="Arial" w:hAnsi="Arial" w:cs="Arial"/>
          <w:sz w:val="23"/>
          <w:szCs w:val="23"/>
        </w:rPr>
        <w:t>p</w:t>
      </w:r>
      <w:r w:rsidRPr="006B63E7">
        <w:rPr>
          <w:rFonts w:ascii="Arial" w:hAnsi="Arial" w:cs="Arial"/>
          <w:sz w:val="23"/>
          <w:szCs w:val="23"/>
        </w:rPr>
        <w:t>aradigma dell’</w:t>
      </w:r>
      <w:r w:rsidR="00950B3B" w:rsidRPr="006B63E7">
        <w:rPr>
          <w:rFonts w:ascii="Arial" w:hAnsi="Arial" w:cs="Arial"/>
          <w:b/>
          <w:bCs/>
          <w:sz w:val="23"/>
          <w:szCs w:val="23"/>
        </w:rPr>
        <w:t>e</w:t>
      </w:r>
      <w:r w:rsidRPr="006B63E7">
        <w:rPr>
          <w:rFonts w:ascii="Arial" w:hAnsi="Arial" w:cs="Arial"/>
          <w:b/>
          <w:bCs/>
          <w:sz w:val="23"/>
          <w:szCs w:val="23"/>
        </w:rPr>
        <w:t>conomia civile</w:t>
      </w:r>
      <w:r w:rsidR="00994AF4" w:rsidRPr="006B63E7">
        <w:rPr>
          <w:rFonts w:ascii="Arial" w:hAnsi="Arial" w:cs="Arial"/>
          <w:b/>
          <w:bCs/>
          <w:sz w:val="23"/>
          <w:szCs w:val="23"/>
        </w:rPr>
        <w:t>, per certi versi discordante per altri versi antinomico</w:t>
      </w:r>
      <w:r w:rsidR="00953FF4" w:rsidRPr="006B63E7">
        <w:rPr>
          <w:rFonts w:ascii="Arial" w:hAnsi="Arial" w:cs="Arial"/>
          <w:b/>
          <w:bCs/>
          <w:sz w:val="23"/>
          <w:szCs w:val="23"/>
        </w:rPr>
        <w:t xml:space="preserve"> rispetto </w:t>
      </w:r>
      <w:r w:rsidR="00953FF4" w:rsidRPr="001D2BA2">
        <w:rPr>
          <w:rFonts w:ascii="Arial" w:hAnsi="Arial" w:cs="Arial"/>
          <w:sz w:val="23"/>
          <w:szCs w:val="23"/>
        </w:rPr>
        <w:t>al</w:t>
      </w:r>
      <w:r w:rsidR="00953FF4" w:rsidRPr="006B63E7">
        <w:rPr>
          <w:rFonts w:ascii="Arial" w:hAnsi="Arial" w:cs="Arial"/>
          <w:b/>
          <w:bCs/>
          <w:sz w:val="23"/>
          <w:szCs w:val="23"/>
        </w:rPr>
        <w:t xml:space="preserve"> </w:t>
      </w:r>
      <w:r w:rsidR="00950B3B" w:rsidRPr="006B63E7">
        <w:rPr>
          <w:rFonts w:ascii="Arial" w:hAnsi="Arial" w:cs="Arial"/>
          <w:sz w:val="23"/>
          <w:szCs w:val="23"/>
        </w:rPr>
        <w:t>p</w:t>
      </w:r>
      <w:r w:rsidRPr="006B63E7">
        <w:rPr>
          <w:rFonts w:ascii="Arial" w:hAnsi="Arial" w:cs="Arial"/>
          <w:sz w:val="23"/>
          <w:szCs w:val="23"/>
        </w:rPr>
        <w:t>aradigma dell’</w:t>
      </w:r>
      <w:r w:rsidR="00950B3B" w:rsidRPr="006B63E7">
        <w:rPr>
          <w:rFonts w:ascii="Arial" w:hAnsi="Arial" w:cs="Arial"/>
          <w:b/>
          <w:bCs/>
          <w:sz w:val="23"/>
          <w:szCs w:val="23"/>
        </w:rPr>
        <w:t>e</w:t>
      </w:r>
      <w:r w:rsidRPr="006B63E7">
        <w:rPr>
          <w:rFonts w:ascii="Arial" w:hAnsi="Arial" w:cs="Arial"/>
          <w:b/>
          <w:bCs/>
          <w:sz w:val="23"/>
          <w:szCs w:val="23"/>
        </w:rPr>
        <w:t>conomia politica</w:t>
      </w:r>
      <w:r w:rsidRPr="006B63E7">
        <w:rPr>
          <w:rFonts w:ascii="Arial" w:hAnsi="Arial" w:cs="Arial"/>
          <w:sz w:val="23"/>
          <w:szCs w:val="23"/>
        </w:rPr>
        <w:t>.</w:t>
      </w:r>
    </w:p>
    <w:p w14:paraId="3825B8EF" w14:textId="77777777" w:rsidR="006B63E7" w:rsidRPr="006B63E7" w:rsidRDefault="006B63E7" w:rsidP="006B63E7">
      <w:pPr>
        <w:jc w:val="both"/>
        <w:rPr>
          <w:rFonts w:ascii="Arial" w:hAnsi="Arial" w:cs="Arial"/>
          <w:sz w:val="23"/>
          <w:szCs w:val="23"/>
        </w:rPr>
      </w:pPr>
    </w:p>
    <w:p w14:paraId="2106DE9A" w14:textId="5ADD0CF1" w:rsidR="00BB10F5" w:rsidRDefault="00BB10F5" w:rsidP="006B63E7">
      <w:pPr>
        <w:jc w:val="both"/>
        <w:rPr>
          <w:rFonts w:ascii="Arial" w:hAnsi="Arial" w:cs="Arial"/>
          <w:sz w:val="23"/>
          <w:szCs w:val="23"/>
        </w:rPr>
      </w:pPr>
      <w:r w:rsidRPr="006B63E7">
        <w:rPr>
          <w:rFonts w:ascii="Arial" w:hAnsi="Arial" w:cs="Arial"/>
          <w:sz w:val="23"/>
          <w:szCs w:val="23"/>
        </w:rPr>
        <w:t xml:space="preserve">Introdotte in Italia con la </w:t>
      </w:r>
      <w:r w:rsidR="001D2BA2">
        <w:rPr>
          <w:rFonts w:ascii="Arial" w:hAnsi="Arial" w:cs="Arial"/>
          <w:sz w:val="23"/>
          <w:szCs w:val="23"/>
        </w:rPr>
        <w:t>l.</w:t>
      </w:r>
      <w:r w:rsidRPr="006B63E7">
        <w:rPr>
          <w:rFonts w:ascii="Arial" w:hAnsi="Arial" w:cs="Arial"/>
          <w:sz w:val="23"/>
          <w:szCs w:val="23"/>
        </w:rPr>
        <w:t xml:space="preserve"> 208/2015, le SB rappresentano una risposta </w:t>
      </w:r>
      <w:r w:rsidRPr="006B63E7">
        <w:rPr>
          <w:rFonts w:ascii="Arial" w:hAnsi="Arial" w:cs="Arial"/>
          <w:b/>
          <w:bCs/>
          <w:sz w:val="23"/>
          <w:szCs w:val="23"/>
        </w:rPr>
        <w:t>concreta</w:t>
      </w:r>
      <w:r w:rsidRPr="006B63E7">
        <w:rPr>
          <w:rFonts w:ascii="Arial" w:hAnsi="Arial" w:cs="Arial"/>
          <w:sz w:val="23"/>
          <w:szCs w:val="23"/>
        </w:rPr>
        <w:t xml:space="preserve"> alla crescente domanda di sostenibilità, superando la tradizionale dicotomia tra </w:t>
      </w:r>
      <w:r w:rsidRPr="006B63E7">
        <w:rPr>
          <w:rFonts w:ascii="Arial" w:hAnsi="Arial" w:cs="Arial"/>
          <w:b/>
          <w:bCs/>
          <w:sz w:val="23"/>
          <w:szCs w:val="23"/>
        </w:rPr>
        <w:t xml:space="preserve">imprese </w:t>
      </w:r>
      <w:r w:rsidRPr="006B63E7">
        <w:rPr>
          <w:rFonts w:ascii="Arial" w:hAnsi="Arial" w:cs="Arial"/>
          <w:b/>
          <w:bCs/>
          <w:i/>
          <w:iCs/>
          <w:sz w:val="23"/>
          <w:szCs w:val="23"/>
        </w:rPr>
        <w:t>for-profit</w:t>
      </w:r>
      <w:r w:rsidRPr="006B63E7">
        <w:rPr>
          <w:rFonts w:ascii="Arial" w:hAnsi="Arial" w:cs="Arial"/>
          <w:sz w:val="23"/>
          <w:szCs w:val="23"/>
        </w:rPr>
        <w:t xml:space="preserve"> e </w:t>
      </w:r>
      <w:r w:rsidRPr="006B63E7">
        <w:rPr>
          <w:rFonts w:ascii="Arial" w:hAnsi="Arial" w:cs="Arial"/>
          <w:b/>
          <w:bCs/>
          <w:sz w:val="23"/>
          <w:szCs w:val="23"/>
        </w:rPr>
        <w:t xml:space="preserve">organizzazioni </w:t>
      </w:r>
      <w:r w:rsidRPr="006B63E7">
        <w:rPr>
          <w:rFonts w:ascii="Arial" w:hAnsi="Arial" w:cs="Arial"/>
          <w:b/>
          <w:bCs/>
          <w:i/>
          <w:iCs/>
          <w:sz w:val="23"/>
          <w:szCs w:val="23"/>
        </w:rPr>
        <w:t>non-profit</w:t>
      </w:r>
      <w:r w:rsidRPr="006B63E7">
        <w:rPr>
          <w:rFonts w:ascii="Arial" w:hAnsi="Arial" w:cs="Arial"/>
          <w:sz w:val="23"/>
          <w:szCs w:val="23"/>
        </w:rPr>
        <w:t>. Dal 2016, il quadro normativo si è progressivamente ampliato, anche alla luce dell</w:t>
      </w:r>
      <w:r w:rsidR="00953FF4" w:rsidRPr="006B63E7">
        <w:rPr>
          <w:rFonts w:ascii="Arial" w:hAnsi="Arial" w:cs="Arial"/>
          <w:sz w:val="23"/>
          <w:szCs w:val="23"/>
        </w:rPr>
        <w:t xml:space="preserve">’implementazione di importanti </w:t>
      </w:r>
      <w:r w:rsidRPr="006B63E7">
        <w:rPr>
          <w:rFonts w:ascii="Arial" w:hAnsi="Arial" w:cs="Arial"/>
          <w:sz w:val="23"/>
          <w:szCs w:val="23"/>
        </w:rPr>
        <w:t xml:space="preserve">direttive europee sulla sostenibilità </w:t>
      </w:r>
      <w:r w:rsidR="00953FF4" w:rsidRPr="006B63E7">
        <w:rPr>
          <w:rFonts w:ascii="Arial" w:hAnsi="Arial" w:cs="Arial"/>
          <w:sz w:val="23"/>
          <w:szCs w:val="23"/>
        </w:rPr>
        <w:t xml:space="preserve">nella </w:t>
      </w:r>
      <w:proofErr w:type="spellStart"/>
      <w:r w:rsidR="00953FF4" w:rsidRPr="006B63E7">
        <w:rPr>
          <w:rFonts w:ascii="Arial" w:hAnsi="Arial" w:cs="Arial"/>
          <w:sz w:val="23"/>
          <w:szCs w:val="23"/>
        </w:rPr>
        <w:t>goverance</w:t>
      </w:r>
      <w:proofErr w:type="spellEnd"/>
      <w:r w:rsidR="00953FF4" w:rsidRPr="006B63E7">
        <w:rPr>
          <w:rFonts w:ascii="Arial" w:hAnsi="Arial" w:cs="Arial"/>
          <w:sz w:val="23"/>
          <w:szCs w:val="23"/>
        </w:rPr>
        <w:t xml:space="preserve"> e nella finanza </w:t>
      </w:r>
      <w:r w:rsidRPr="006B63E7">
        <w:rPr>
          <w:rFonts w:ascii="Arial" w:hAnsi="Arial" w:cs="Arial"/>
          <w:sz w:val="23"/>
          <w:szCs w:val="23"/>
        </w:rPr>
        <w:t>e de</w:t>
      </w:r>
      <w:r w:rsidR="00953FF4" w:rsidRPr="006B63E7">
        <w:rPr>
          <w:rFonts w:ascii="Arial" w:hAnsi="Arial" w:cs="Arial"/>
          <w:sz w:val="23"/>
          <w:szCs w:val="23"/>
        </w:rPr>
        <w:t xml:space="preserve">lla diffusione di </w:t>
      </w:r>
      <w:r w:rsidRPr="006B63E7">
        <w:rPr>
          <w:rFonts w:ascii="Arial" w:hAnsi="Arial" w:cs="Arial"/>
          <w:sz w:val="23"/>
          <w:szCs w:val="23"/>
        </w:rPr>
        <w:t>strumenti</w:t>
      </w:r>
      <w:r w:rsidR="00953FF4" w:rsidRPr="006B63E7">
        <w:rPr>
          <w:rFonts w:ascii="Arial" w:hAnsi="Arial" w:cs="Arial"/>
          <w:sz w:val="23"/>
          <w:szCs w:val="23"/>
        </w:rPr>
        <w:t xml:space="preserve"> per la gestione dei fenomeni ESG</w:t>
      </w:r>
      <w:r w:rsidRPr="006B63E7">
        <w:rPr>
          <w:rFonts w:ascii="Arial" w:hAnsi="Arial" w:cs="Arial"/>
          <w:sz w:val="23"/>
          <w:szCs w:val="23"/>
        </w:rPr>
        <w:t xml:space="preserve">, rafforzando l’esigenza di </w:t>
      </w:r>
      <w:r w:rsidRPr="006B63E7">
        <w:rPr>
          <w:rFonts w:ascii="Arial" w:hAnsi="Arial" w:cs="Arial"/>
          <w:b/>
          <w:bCs/>
          <w:sz w:val="23"/>
          <w:szCs w:val="23"/>
        </w:rPr>
        <w:t>trasparenza</w:t>
      </w:r>
      <w:r w:rsidR="00953FF4" w:rsidRPr="006B63E7">
        <w:rPr>
          <w:rFonts w:ascii="Arial" w:hAnsi="Arial" w:cs="Arial"/>
          <w:b/>
          <w:bCs/>
          <w:sz w:val="23"/>
          <w:szCs w:val="23"/>
        </w:rPr>
        <w:t xml:space="preserve"> della </w:t>
      </w:r>
      <w:r w:rsidR="00953FF4" w:rsidRPr="006B63E7">
        <w:rPr>
          <w:rFonts w:ascii="Arial" w:hAnsi="Arial" w:cs="Arial"/>
          <w:b/>
          <w:bCs/>
          <w:i/>
          <w:iCs/>
          <w:sz w:val="23"/>
          <w:szCs w:val="23"/>
        </w:rPr>
        <w:t>disclosure</w:t>
      </w:r>
      <w:r w:rsidRPr="006B63E7">
        <w:rPr>
          <w:rFonts w:ascii="Arial" w:hAnsi="Arial" w:cs="Arial"/>
          <w:b/>
          <w:bCs/>
          <w:sz w:val="23"/>
          <w:szCs w:val="23"/>
        </w:rPr>
        <w:t xml:space="preserve">, misurabilità degli impatti e </w:t>
      </w:r>
      <w:r w:rsidRPr="006B63E7">
        <w:rPr>
          <w:rFonts w:ascii="Arial" w:hAnsi="Arial" w:cs="Arial"/>
          <w:b/>
          <w:bCs/>
          <w:i/>
          <w:iCs/>
          <w:sz w:val="23"/>
          <w:szCs w:val="23"/>
        </w:rPr>
        <w:t>accountability</w:t>
      </w:r>
      <w:r w:rsidR="00953FF4" w:rsidRPr="006B63E7">
        <w:rPr>
          <w:rFonts w:ascii="Arial" w:hAnsi="Arial" w:cs="Arial"/>
          <w:b/>
          <w:bCs/>
          <w:sz w:val="23"/>
          <w:szCs w:val="23"/>
        </w:rPr>
        <w:t xml:space="preserve"> delle organizzazioni</w:t>
      </w:r>
      <w:r w:rsidR="006B63E7">
        <w:rPr>
          <w:rFonts w:ascii="Arial" w:hAnsi="Arial" w:cs="Arial"/>
          <w:sz w:val="23"/>
          <w:szCs w:val="23"/>
        </w:rPr>
        <w:t>.</w:t>
      </w:r>
    </w:p>
    <w:p w14:paraId="0AFD7A11" w14:textId="77777777" w:rsidR="006B63E7" w:rsidRPr="006B63E7" w:rsidRDefault="006B63E7" w:rsidP="006B63E7">
      <w:pPr>
        <w:jc w:val="both"/>
        <w:rPr>
          <w:rFonts w:ascii="Arial" w:hAnsi="Arial" w:cs="Arial"/>
          <w:sz w:val="23"/>
          <w:szCs w:val="23"/>
        </w:rPr>
      </w:pPr>
    </w:p>
    <w:p w14:paraId="1F968780" w14:textId="7684742A" w:rsidR="00BB10F5" w:rsidRDefault="00BB10F5" w:rsidP="006B63E7">
      <w:pPr>
        <w:jc w:val="both"/>
        <w:rPr>
          <w:rFonts w:ascii="Arial" w:hAnsi="Arial" w:cs="Arial"/>
          <w:sz w:val="23"/>
          <w:szCs w:val="23"/>
        </w:rPr>
      </w:pPr>
      <w:r w:rsidRPr="006B63E7">
        <w:rPr>
          <w:rFonts w:ascii="Arial" w:hAnsi="Arial" w:cs="Arial"/>
          <w:sz w:val="23"/>
          <w:szCs w:val="23"/>
        </w:rPr>
        <w:t>Il Quaderno esplora l'</w:t>
      </w:r>
      <w:r w:rsidRPr="006B63E7">
        <w:rPr>
          <w:rFonts w:ascii="Arial" w:hAnsi="Arial" w:cs="Arial"/>
          <w:b/>
          <w:bCs/>
          <w:sz w:val="23"/>
          <w:szCs w:val="23"/>
        </w:rPr>
        <w:t>inquadramento normativo nazionale e internazionale</w:t>
      </w:r>
      <w:r w:rsidRPr="006B63E7">
        <w:rPr>
          <w:rFonts w:ascii="Arial" w:hAnsi="Arial" w:cs="Arial"/>
          <w:sz w:val="23"/>
          <w:szCs w:val="23"/>
        </w:rPr>
        <w:t xml:space="preserve">, confrontando le SB con le </w:t>
      </w:r>
      <w:r w:rsidRPr="006B63E7">
        <w:rPr>
          <w:rFonts w:ascii="Arial" w:hAnsi="Arial" w:cs="Arial"/>
          <w:b/>
          <w:bCs/>
          <w:sz w:val="23"/>
          <w:szCs w:val="23"/>
        </w:rPr>
        <w:t>B-Corp</w:t>
      </w:r>
      <w:r w:rsidRPr="006B63E7">
        <w:rPr>
          <w:rFonts w:ascii="Arial" w:hAnsi="Arial" w:cs="Arial"/>
          <w:sz w:val="23"/>
          <w:szCs w:val="23"/>
        </w:rPr>
        <w:t xml:space="preserve"> e altre forme societarie, come le </w:t>
      </w:r>
      <w:r w:rsidRPr="006B63E7">
        <w:rPr>
          <w:rFonts w:ascii="Arial" w:hAnsi="Arial" w:cs="Arial"/>
          <w:b/>
          <w:bCs/>
          <w:sz w:val="23"/>
          <w:szCs w:val="23"/>
        </w:rPr>
        <w:t>imprese sociali</w:t>
      </w:r>
      <w:r w:rsidR="00CA794E" w:rsidRPr="006B63E7">
        <w:rPr>
          <w:rFonts w:ascii="Arial" w:hAnsi="Arial" w:cs="Arial"/>
          <w:b/>
          <w:bCs/>
          <w:sz w:val="23"/>
          <w:szCs w:val="23"/>
        </w:rPr>
        <w:t xml:space="preserve">, con una particolare </w:t>
      </w:r>
      <w:r w:rsidRPr="006B63E7">
        <w:rPr>
          <w:rFonts w:ascii="Arial" w:hAnsi="Arial" w:cs="Arial"/>
          <w:sz w:val="23"/>
          <w:szCs w:val="23"/>
        </w:rPr>
        <w:t xml:space="preserve">attenzione </w:t>
      </w:r>
      <w:r w:rsidR="00CA794E" w:rsidRPr="006B63E7">
        <w:rPr>
          <w:rFonts w:ascii="Arial" w:hAnsi="Arial" w:cs="Arial"/>
          <w:sz w:val="23"/>
          <w:szCs w:val="23"/>
        </w:rPr>
        <w:t xml:space="preserve">alle sfumature relative ad </w:t>
      </w:r>
      <w:r w:rsidRPr="006B63E7">
        <w:rPr>
          <w:rFonts w:ascii="Arial" w:hAnsi="Arial" w:cs="Arial"/>
          <w:sz w:val="23"/>
          <w:szCs w:val="23"/>
        </w:rPr>
        <w:t>aspetti di governance</w:t>
      </w:r>
      <w:r w:rsidR="00CA794E" w:rsidRPr="006B63E7">
        <w:rPr>
          <w:rFonts w:ascii="Arial" w:hAnsi="Arial" w:cs="Arial"/>
          <w:sz w:val="23"/>
          <w:szCs w:val="23"/>
        </w:rPr>
        <w:t>.</w:t>
      </w:r>
    </w:p>
    <w:p w14:paraId="7DAA7F21" w14:textId="77777777" w:rsidR="006B63E7" w:rsidRPr="006B63E7" w:rsidRDefault="006B63E7" w:rsidP="006B63E7">
      <w:pPr>
        <w:jc w:val="both"/>
        <w:rPr>
          <w:rFonts w:ascii="Arial" w:hAnsi="Arial" w:cs="Arial"/>
          <w:sz w:val="23"/>
          <w:szCs w:val="23"/>
        </w:rPr>
      </w:pPr>
    </w:p>
    <w:p w14:paraId="6BBAD878" w14:textId="22D7DE18" w:rsidR="00CA794E" w:rsidRDefault="00BB10F5" w:rsidP="006B63E7">
      <w:pPr>
        <w:jc w:val="both"/>
        <w:rPr>
          <w:rFonts w:ascii="Arial" w:eastAsia="Times New Roman" w:hAnsi="Arial" w:cs="Arial"/>
          <w:sz w:val="23"/>
          <w:szCs w:val="23"/>
        </w:rPr>
      </w:pPr>
      <w:r w:rsidRPr="006B63E7">
        <w:rPr>
          <w:rFonts w:ascii="Arial" w:eastAsia="Times New Roman" w:hAnsi="Arial" w:cs="Arial"/>
          <w:sz w:val="23"/>
          <w:szCs w:val="23"/>
        </w:rPr>
        <w:t xml:space="preserve">Vengono </w:t>
      </w:r>
      <w:r w:rsidR="00CA794E" w:rsidRPr="006B63E7">
        <w:rPr>
          <w:rFonts w:ascii="Arial" w:eastAsia="Times New Roman" w:hAnsi="Arial" w:cs="Arial"/>
          <w:sz w:val="23"/>
          <w:szCs w:val="23"/>
        </w:rPr>
        <w:t xml:space="preserve">individuate poi alcune </w:t>
      </w:r>
      <w:r w:rsidRPr="006B63E7">
        <w:rPr>
          <w:rFonts w:ascii="Arial" w:eastAsia="Times New Roman" w:hAnsi="Arial" w:cs="Arial"/>
          <w:b/>
          <w:bCs/>
          <w:sz w:val="23"/>
          <w:szCs w:val="23"/>
        </w:rPr>
        <w:t xml:space="preserve">connessioni </w:t>
      </w:r>
      <w:r w:rsidRPr="006B63E7">
        <w:rPr>
          <w:rFonts w:ascii="Arial" w:eastAsia="Times New Roman" w:hAnsi="Arial" w:cs="Arial"/>
          <w:sz w:val="23"/>
          <w:szCs w:val="23"/>
        </w:rPr>
        <w:t xml:space="preserve">con la normativa sulla responsabilità degli enti (d.lgs. 231/2001) e le sinergie con gli obblighi di rendicontazione di sostenibilità imposti dalla </w:t>
      </w:r>
      <w:r w:rsidRPr="006B63E7">
        <w:rPr>
          <w:rFonts w:ascii="Arial" w:eastAsia="Times New Roman" w:hAnsi="Arial" w:cs="Arial"/>
          <w:b/>
          <w:bCs/>
          <w:sz w:val="23"/>
          <w:szCs w:val="23"/>
        </w:rPr>
        <w:t>Corporate Sustainability Reporting Directive (CSRD)</w:t>
      </w:r>
      <w:r w:rsidRPr="006B63E7">
        <w:rPr>
          <w:rFonts w:ascii="Arial" w:eastAsia="Times New Roman" w:hAnsi="Arial" w:cs="Arial"/>
          <w:sz w:val="23"/>
          <w:szCs w:val="23"/>
        </w:rPr>
        <w:t>,</w:t>
      </w:r>
      <w:r w:rsidR="00CA794E" w:rsidRPr="006B63E7">
        <w:rPr>
          <w:rFonts w:ascii="Arial" w:eastAsia="Times New Roman" w:hAnsi="Arial" w:cs="Arial"/>
          <w:sz w:val="23"/>
          <w:szCs w:val="23"/>
        </w:rPr>
        <w:t xml:space="preserve"> anche con uno sguardo al </w:t>
      </w:r>
      <w:r w:rsidRPr="006B63E7">
        <w:rPr>
          <w:rFonts w:ascii="Arial" w:eastAsia="Times New Roman" w:hAnsi="Arial" w:cs="Arial"/>
          <w:sz w:val="23"/>
          <w:szCs w:val="23"/>
        </w:rPr>
        <w:t>concetto di “</w:t>
      </w:r>
      <w:r w:rsidRPr="006B63E7">
        <w:rPr>
          <w:rFonts w:ascii="Arial" w:eastAsia="Times New Roman" w:hAnsi="Arial" w:cs="Arial"/>
          <w:b/>
          <w:bCs/>
          <w:sz w:val="23"/>
          <w:szCs w:val="23"/>
        </w:rPr>
        <w:t>doppia materialità</w:t>
      </w:r>
      <w:r w:rsidRPr="006B63E7">
        <w:rPr>
          <w:rFonts w:ascii="Arial" w:eastAsia="Times New Roman" w:hAnsi="Arial" w:cs="Arial"/>
          <w:sz w:val="23"/>
          <w:szCs w:val="23"/>
        </w:rPr>
        <w:t>”.</w:t>
      </w:r>
    </w:p>
    <w:p w14:paraId="652E95AB" w14:textId="77777777" w:rsidR="006B63E7" w:rsidRPr="006B63E7" w:rsidRDefault="006B63E7" w:rsidP="006B63E7">
      <w:pPr>
        <w:jc w:val="both"/>
        <w:rPr>
          <w:rFonts w:ascii="Arial" w:hAnsi="Arial" w:cs="Arial"/>
          <w:sz w:val="23"/>
          <w:szCs w:val="23"/>
        </w:rPr>
      </w:pPr>
    </w:p>
    <w:p w14:paraId="10F80A30" w14:textId="593A2970" w:rsidR="0077621F" w:rsidRPr="006B63E7" w:rsidRDefault="00BB10F5" w:rsidP="006B63E7">
      <w:pPr>
        <w:jc w:val="both"/>
        <w:rPr>
          <w:rFonts w:ascii="Arial" w:hAnsi="Arial" w:cs="Arial"/>
          <w:sz w:val="23"/>
          <w:szCs w:val="23"/>
        </w:rPr>
      </w:pPr>
      <w:r w:rsidRPr="006B63E7">
        <w:rPr>
          <w:rFonts w:ascii="Arial" w:hAnsi="Arial" w:cs="Arial"/>
          <w:sz w:val="23"/>
          <w:szCs w:val="23"/>
        </w:rPr>
        <w:lastRenderedPageBreak/>
        <w:t xml:space="preserve">Infine, la monografia esamina le </w:t>
      </w:r>
      <w:r w:rsidRPr="006B63E7">
        <w:rPr>
          <w:rFonts w:ascii="Arial" w:hAnsi="Arial" w:cs="Arial"/>
          <w:b/>
          <w:bCs/>
          <w:sz w:val="23"/>
          <w:szCs w:val="23"/>
        </w:rPr>
        <w:t>implicazioni pratiche</w:t>
      </w:r>
      <w:r w:rsidRPr="006B63E7">
        <w:rPr>
          <w:rFonts w:ascii="Arial" w:hAnsi="Arial" w:cs="Arial"/>
          <w:sz w:val="23"/>
          <w:szCs w:val="23"/>
        </w:rPr>
        <w:t xml:space="preserve"> del paradigma “</w:t>
      </w:r>
      <w:r w:rsidRPr="006B63E7">
        <w:rPr>
          <w:rFonts w:ascii="Arial" w:hAnsi="Arial" w:cs="Arial"/>
          <w:b/>
          <w:bCs/>
          <w:i/>
          <w:iCs/>
          <w:sz w:val="23"/>
          <w:szCs w:val="23"/>
        </w:rPr>
        <w:t>profit-for-purpose</w:t>
      </w:r>
      <w:r w:rsidRPr="006B63E7">
        <w:rPr>
          <w:rFonts w:ascii="Arial" w:hAnsi="Arial" w:cs="Arial"/>
          <w:i/>
          <w:iCs/>
          <w:sz w:val="23"/>
          <w:szCs w:val="23"/>
        </w:rPr>
        <w:t>”</w:t>
      </w:r>
      <w:r w:rsidRPr="006B63E7">
        <w:rPr>
          <w:rFonts w:ascii="Arial" w:hAnsi="Arial" w:cs="Arial"/>
          <w:sz w:val="23"/>
          <w:szCs w:val="23"/>
        </w:rPr>
        <w:t xml:space="preserve">, le opportunità legate alla </w:t>
      </w:r>
      <w:r w:rsidRPr="006B63E7">
        <w:rPr>
          <w:rFonts w:ascii="Arial" w:hAnsi="Arial" w:cs="Arial"/>
          <w:b/>
          <w:bCs/>
          <w:sz w:val="23"/>
          <w:szCs w:val="23"/>
        </w:rPr>
        <w:t>finanza sostenibile</w:t>
      </w:r>
      <w:r w:rsidRPr="006B63E7">
        <w:rPr>
          <w:rFonts w:ascii="Arial" w:hAnsi="Arial" w:cs="Arial"/>
          <w:sz w:val="23"/>
          <w:szCs w:val="23"/>
        </w:rPr>
        <w:t xml:space="preserve"> e il posizionamento delle SB nel mercato, </w:t>
      </w:r>
      <w:r w:rsidR="00CA794E" w:rsidRPr="006B63E7">
        <w:rPr>
          <w:rFonts w:ascii="Arial" w:eastAsia="Times New Roman" w:hAnsi="Arial" w:cs="Arial"/>
          <w:sz w:val="23"/>
          <w:szCs w:val="23"/>
        </w:rPr>
        <w:t xml:space="preserve">rivolgendosi specificamente ai </w:t>
      </w:r>
      <w:r w:rsidR="00CA794E" w:rsidRPr="006B63E7">
        <w:rPr>
          <w:rFonts w:ascii="Arial" w:eastAsia="Times New Roman" w:hAnsi="Arial" w:cs="Arial"/>
          <w:b/>
          <w:bCs/>
          <w:sz w:val="23"/>
          <w:szCs w:val="23"/>
        </w:rPr>
        <w:t>commercialisti</w:t>
      </w:r>
      <w:r w:rsidR="00CA794E" w:rsidRPr="006B63E7">
        <w:rPr>
          <w:rFonts w:ascii="Arial" w:eastAsia="Times New Roman" w:hAnsi="Arial" w:cs="Arial"/>
          <w:sz w:val="23"/>
          <w:szCs w:val="23"/>
        </w:rPr>
        <w:t xml:space="preserve">, per rimarcarne il ruolo cruciale come </w:t>
      </w:r>
      <w:r w:rsidR="00CA794E" w:rsidRPr="006B63E7">
        <w:rPr>
          <w:rFonts w:ascii="Arial" w:eastAsia="Times New Roman" w:hAnsi="Arial" w:cs="Arial"/>
          <w:b/>
          <w:bCs/>
          <w:sz w:val="23"/>
          <w:szCs w:val="23"/>
        </w:rPr>
        <w:t>consulenti strategici</w:t>
      </w:r>
      <w:r w:rsidR="00CA794E" w:rsidRPr="006B63E7">
        <w:rPr>
          <w:rFonts w:ascii="Arial" w:eastAsia="Times New Roman" w:hAnsi="Arial" w:cs="Arial"/>
          <w:sz w:val="23"/>
          <w:szCs w:val="23"/>
        </w:rPr>
        <w:t xml:space="preserve"> nell'accompagnare le imprese verso nuovi modelli </w:t>
      </w:r>
      <w:r w:rsidR="009D1E10" w:rsidRPr="006B63E7">
        <w:rPr>
          <w:rFonts w:ascii="Arial" w:eastAsia="Times New Roman" w:hAnsi="Arial" w:cs="Arial"/>
          <w:sz w:val="23"/>
          <w:szCs w:val="23"/>
        </w:rPr>
        <w:t xml:space="preserve">aziendali che consolidino i meccanismi di sviluppo della </w:t>
      </w:r>
      <w:r w:rsidRPr="006B63E7">
        <w:rPr>
          <w:rFonts w:ascii="Arial" w:hAnsi="Arial" w:cs="Arial"/>
          <w:sz w:val="23"/>
          <w:szCs w:val="23"/>
        </w:rPr>
        <w:t xml:space="preserve">competitività </w:t>
      </w:r>
      <w:r w:rsidR="00CA794E" w:rsidRPr="006B63E7">
        <w:rPr>
          <w:rFonts w:ascii="Arial" w:hAnsi="Arial" w:cs="Arial"/>
          <w:sz w:val="23"/>
          <w:szCs w:val="23"/>
        </w:rPr>
        <w:t>su</w:t>
      </w:r>
      <w:r w:rsidR="009D1E10" w:rsidRPr="006B63E7">
        <w:rPr>
          <w:rFonts w:ascii="Arial" w:hAnsi="Arial" w:cs="Arial"/>
          <w:sz w:val="23"/>
          <w:szCs w:val="23"/>
        </w:rPr>
        <w:t xml:space="preserve">i processi di </w:t>
      </w:r>
      <w:r w:rsidRPr="006B63E7">
        <w:rPr>
          <w:rFonts w:ascii="Arial" w:hAnsi="Arial" w:cs="Arial"/>
          <w:b/>
          <w:bCs/>
          <w:sz w:val="23"/>
          <w:szCs w:val="23"/>
        </w:rPr>
        <w:t>creazione di valore</w:t>
      </w:r>
      <w:r w:rsidRPr="006B63E7">
        <w:rPr>
          <w:rFonts w:ascii="Arial" w:hAnsi="Arial" w:cs="Arial"/>
          <w:sz w:val="23"/>
          <w:szCs w:val="23"/>
        </w:rPr>
        <w:t xml:space="preserve"> </w:t>
      </w:r>
      <w:r w:rsidR="009D1E10" w:rsidRPr="006B63E7">
        <w:rPr>
          <w:rFonts w:ascii="Arial" w:hAnsi="Arial" w:cs="Arial"/>
          <w:sz w:val="23"/>
          <w:szCs w:val="23"/>
        </w:rPr>
        <w:t>(</w:t>
      </w:r>
      <w:r w:rsidR="00CA794E" w:rsidRPr="006B63E7">
        <w:rPr>
          <w:rFonts w:ascii="Arial" w:hAnsi="Arial" w:cs="Arial"/>
          <w:sz w:val="23"/>
          <w:szCs w:val="23"/>
        </w:rPr>
        <w:t>sostenibile</w:t>
      </w:r>
      <w:r w:rsidR="009D1E10" w:rsidRPr="006B63E7">
        <w:rPr>
          <w:rFonts w:ascii="Arial" w:hAnsi="Arial" w:cs="Arial"/>
          <w:sz w:val="23"/>
          <w:szCs w:val="23"/>
        </w:rPr>
        <w:t>)</w:t>
      </w:r>
      <w:r w:rsidR="00CA794E" w:rsidRPr="006B63E7">
        <w:rPr>
          <w:rFonts w:ascii="Arial" w:hAnsi="Arial" w:cs="Arial"/>
          <w:sz w:val="23"/>
          <w:szCs w:val="23"/>
        </w:rPr>
        <w:t xml:space="preserve"> di </w:t>
      </w:r>
      <w:r w:rsidRPr="006B63E7">
        <w:rPr>
          <w:rFonts w:ascii="Arial" w:hAnsi="Arial" w:cs="Arial"/>
          <w:sz w:val="23"/>
          <w:szCs w:val="23"/>
        </w:rPr>
        <w:t xml:space="preserve">lungo </w:t>
      </w:r>
      <w:r w:rsidR="00CA794E" w:rsidRPr="006B63E7">
        <w:rPr>
          <w:rFonts w:ascii="Arial" w:hAnsi="Arial" w:cs="Arial"/>
          <w:sz w:val="23"/>
          <w:szCs w:val="23"/>
        </w:rPr>
        <w:t>periodo</w:t>
      </w:r>
      <w:r w:rsidRPr="006B63E7">
        <w:rPr>
          <w:rFonts w:ascii="Arial" w:hAnsi="Arial" w:cs="Arial"/>
          <w:sz w:val="23"/>
          <w:szCs w:val="23"/>
        </w:rPr>
        <w:t>.</w:t>
      </w:r>
    </w:p>
    <w:sectPr w:rsidR="0077621F" w:rsidRPr="006B63E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B122" w14:textId="77777777" w:rsidR="005C3BD4" w:rsidRDefault="005C3BD4" w:rsidP="00E57E76">
      <w:r>
        <w:separator/>
      </w:r>
    </w:p>
  </w:endnote>
  <w:endnote w:type="continuationSeparator" w:id="0">
    <w:p w14:paraId="573FF8DF" w14:textId="77777777" w:rsidR="005C3BD4" w:rsidRDefault="005C3BD4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7D15" w14:textId="77777777" w:rsidR="005C3BD4" w:rsidRDefault="005C3BD4" w:rsidP="00E57E76">
      <w:r>
        <w:separator/>
      </w:r>
    </w:p>
  </w:footnote>
  <w:footnote w:type="continuationSeparator" w:id="0">
    <w:p w14:paraId="6DA23B32" w14:textId="77777777" w:rsidR="005C3BD4" w:rsidRDefault="005C3BD4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16F1E"/>
    <w:rsid w:val="00080A1C"/>
    <w:rsid w:val="0009032C"/>
    <w:rsid w:val="000914E5"/>
    <w:rsid w:val="001D2BA2"/>
    <w:rsid w:val="00206A49"/>
    <w:rsid w:val="00214077"/>
    <w:rsid w:val="002350C8"/>
    <w:rsid w:val="00285BF7"/>
    <w:rsid w:val="002948ED"/>
    <w:rsid w:val="00333D91"/>
    <w:rsid w:val="00336C2D"/>
    <w:rsid w:val="003861F7"/>
    <w:rsid w:val="003A4A5D"/>
    <w:rsid w:val="003A7845"/>
    <w:rsid w:val="003A7DDE"/>
    <w:rsid w:val="003F070C"/>
    <w:rsid w:val="0044215B"/>
    <w:rsid w:val="004514D9"/>
    <w:rsid w:val="00464BDB"/>
    <w:rsid w:val="00497D30"/>
    <w:rsid w:val="004F296B"/>
    <w:rsid w:val="0055064E"/>
    <w:rsid w:val="005C3BD4"/>
    <w:rsid w:val="005E0C94"/>
    <w:rsid w:val="005E0DE9"/>
    <w:rsid w:val="005F4DF3"/>
    <w:rsid w:val="006603D8"/>
    <w:rsid w:val="006B004B"/>
    <w:rsid w:val="006B63E7"/>
    <w:rsid w:val="006E1AD5"/>
    <w:rsid w:val="006E423A"/>
    <w:rsid w:val="007119C0"/>
    <w:rsid w:val="0077621F"/>
    <w:rsid w:val="00787E73"/>
    <w:rsid w:val="008002A9"/>
    <w:rsid w:val="0086461C"/>
    <w:rsid w:val="00950B3B"/>
    <w:rsid w:val="00953FF4"/>
    <w:rsid w:val="00976A30"/>
    <w:rsid w:val="00994AF4"/>
    <w:rsid w:val="009A049E"/>
    <w:rsid w:val="009C4CCA"/>
    <w:rsid w:val="009D1E10"/>
    <w:rsid w:val="00A06705"/>
    <w:rsid w:val="00BB10F5"/>
    <w:rsid w:val="00C15AA9"/>
    <w:rsid w:val="00C22AE6"/>
    <w:rsid w:val="00C909CC"/>
    <w:rsid w:val="00C9231A"/>
    <w:rsid w:val="00CA794E"/>
    <w:rsid w:val="00CB3C8A"/>
    <w:rsid w:val="00D21CF3"/>
    <w:rsid w:val="00D23044"/>
    <w:rsid w:val="00D4645C"/>
    <w:rsid w:val="00D83F6E"/>
    <w:rsid w:val="00DE7CA9"/>
    <w:rsid w:val="00E024D0"/>
    <w:rsid w:val="00E30E7A"/>
    <w:rsid w:val="00E57E76"/>
    <w:rsid w:val="00E72AE3"/>
    <w:rsid w:val="00EE24F3"/>
    <w:rsid w:val="00F22822"/>
    <w:rsid w:val="00F31DE2"/>
    <w:rsid w:val="00F52DB5"/>
    <w:rsid w:val="00F64DFA"/>
    <w:rsid w:val="00F835B2"/>
    <w:rsid w:val="00F93505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2282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2282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"/>
    <w:uiPriority w:val="99"/>
    <w:unhideWhenUsed/>
    <w:rsid w:val="00F228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4DF3"/>
    <w:rPr>
      <w:color w:val="467886" w:themeColor="hyperlink"/>
      <w:u w:val="single"/>
    </w:rPr>
  </w:style>
  <w:style w:type="paragraph" w:customStyle="1" w:styleId="Copertina-Autori">
    <w:name w:val="Copertina - Autori"/>
    <w:basedOn w:val="Normale"/>
    <w:qFormat/>
    <w:rsid w:val="0077621F"/>
    <w:pPr>
      <w:spacing w:after="120" w:line="312" w:lineRule="auto"/>
      <w:jc w:val="both"/>
    </w:pPr>
    <w:rPr>
      <w:rFonts w:asciiTheme="minorHAnsi" w:eastAsia="Calibri" w:hAnsiTheme="minorHAnsi" w:cs="Times New Roman (Corpo CS)"/>
      <w:b/>
      <w:bCs/>
      <w:color w:val="FFFFFF" w:themeColor="background1"/>
      <w:sz w:val="26"/>
      <w:szCs w:val="28"/>
      <w:lang w:eastAsia="en-US"/>
    </w:rPr>
  </w:style>
  <w:style w:type="paragraph" w:styleId="Revisione">
    <w:name w:val="Revision"/>
    <w:hidden/>
    <w:uiPriority w:val="99"/>
    <w:semiHidden/>
    <w:rsid w:val="008002A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dcterms:created xsi:type="dcterms:W3CDTF">2026-03-25T14:47:00Z</dcterms:created>
  <dcterms:modified xsi:type="dcterms:W3CDTF">2026-03-25T16:21:00Z</dcterms:modified>
</cp:coreProperties>
</file>