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F181" w14:textId="77777777" w:rsidR="00E57E76" w:rsidRPr="007629BA" w:rsidRDefault="00E57E76" w:rsidP="00950B3B">
      <w:pPr>
        <w:jc w:val="both"/>
        <w:rPr>
          <w:rFonts w:ascii="Arial" w:hAnsi="Arial" w:cs="Arial"/>
          <w:b/>
          <w:bCs/>
          <w:u w:val="single"/>
        </w:rPr>
      </w:pPr>
    </w:p>
    <w:p w14:paraId="1182451F" w14:textId="1DC93C93" w:rsidR="00E30E7A" w:rsidRPr="007629BA" w:rsidRDefault="00E30E7A" w:rsidP="007629BA">
      <w:pPr>
        <w:jc w:val="center"/>
        <w:rPr>
          <w:rFonts w:ascii="Arial" w:hAnsi="Arial" w:cs="Arial"/>
          <w:b/>
          <w:bCs/>
          <w:u w:val="single"/>
        </w:rPr>
      </w:pPr>
      <w:r w:rsidRPr="007629BA">
        <w:rPr>
          <w:rFonts w:ascii="Arial" w:hAnsi="Arial" w:cs="Arial"/>
          <w:b/>
          <w:bCs/>
          <w:u w:val="single"/>
        </w:rPr>
        <w:t>Comunicato stampa</w:t>
      </w:r>
    </w:p>
    <w:p w14:paraId="52FA6AD2" w14:textId="77777777" w:rsidR="006B63E7" w:rsidRPr="007629BA" w:rsidRDefault="006B63E7" w:rsidP="007629BA">
      <w:pPr>
        <w:jc w:val="center"/>
        <w:rPr>
          <w:rFonts w:ascii="Arial" w:hAnsi="Arial" w:cs="Arial"/>
          <w:b/>
          <w:bCs/>
          <w:u w:val="single"/>
        </w:rPr>
      </w:pPr>
    </w:p>
    <w:p w14:paraId="6C598F47" w14:textId="77777777" w:rsidR="007629BA" w:rsidRPr="007629BA" w:rsidRDefault="007629BA" w:rsidP="007629BA">
      <w:pPr>
        <w:jc w:val="center"/>
        <w:rPr>
          <w:rFonts w:ascii="Arial" w:hAnsi="Arial" w:cs="Arial"/>
          <w:b/>
          <w:bCs/>
        </w:rPr>
      </w:pPr>
      <w:r w:rsidRPr="007629BA">
        <w:rPr>
          <w:rFonts w:ascii="Arial" w:hAnsi="Arial" w:cs="Arial"/>
          <w:b/>
          <w:bCs/>
        </w:rPr>
        <w:t>ANTIRICICLAGGIO: DISPONIBILI GLI STRUMENTI OPERATIVI PER I COMMERCIALISTI</w:t>
      </w:r>
    </w:p>
    <w:p w14:paraId="525BFA5F" w14:textId="77777777" w:rsidR="007629BA" w:rsidRPr="007629BA" w:rsidRDefault="007629BA" w:rsidP="007629BA">
      <w:pPr>
        <w:jc w:val="center"/>
        <w:rPr>
          <w:rFonts w:ascii="Arial" w:hAnsi="Arial" w:cs="Arial"/>
          <w:b/>
          <w:bCs/>
        </w:rPr>
      </w:pPr>
    </w:p>
    <w:p w14:paraId="0DBC9935" w14:textId="3AB20E6D" w:rsidR="006603D8" w:rsidRPr="007629BA" w:rsidRDefault="007629BA" w:rsidP="007629BA">
      <w:pPr>
        <w:jc w:val="center"/>
        <w:rPr>
          <w:rFonts w:ascii="Arial" w:hAnsi="Arial" w:cs="Arial"/>
          <w:b/>
          <w:bCs/>
        </w:rPr>
      </w:pPr>
      <w:r w:rsidRPr="007629BA">
        <w:rPr>
          <w:rFonts w:ascii="Arial" w:hAnsi="Arial" w:cs="Arial"/>
          <w:b/>
          <w:bCs/>
        </w:rPr>
        <w:t>Dal Consiglio Nazionale della categoria una guida con una modulistica esemplificativa e non vincolante</w:t>
      </w:r>
    </w:p>
    <w:p w14:paraId="13765877" w14:textId="77777777" w:rsidR="006603D8" w:rsidRPr="007629BA" w:rsidRDefault="006603D8" w:rsidP="007629BA">
      <w:pPr>
        <w:jc w:val="both"/>
        <w:rPr>
          <w:rFonts w:ascii="Arial" w:hAnsi="Arial" w:cs="Arial"/>
          <w:i/>
          <w:iCs/>
        </w:rPr>
      </w:pPr>
    </w:p>
    <w:p w14:paraId="6EAC1F30" w14:textId="483AD9D0" w:rsidR="007629BA" w:rsidRDefault="000914E5" w:rsidP="007629B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7629BA">
        <w:rPr>
          <w:rFonts w:ascii="Arial" w:hAnsi="Arial" w:cs="Arial"/>
          <w:i/>
          <w:iCs/>
        </w:rPr>
        <w:t>Roma, 2</w:t>
      </w:r>
      <w:r w:rsidR="00FD7172">
        <w:rPr>
          <w:rFonts w:ascii="Arial" w:hAnsi="Arial" w:cs="Arial"/>
          <w:i/>
          <w:iCs/>
        </w:rPr>
        <w:t>6</w:t>
      </w:r>
      <w:r w:rsidRPr="007629BA">
        <w:rPr>
          <w:rFonts w:ascii="Arial" w:hAnsi="Arial" w:cs="Arial"/>
          <w:i/>
          <w:iCs/>
        </w:rPr>
        <w:t xml:space="preserve"> marzo 2026 </w:t>
      </w:r>
      <w:r w:rsidR="0077621F" w:rsidRPr="007629BA">
        <w:rPr>
          <w:rFonts w:ascii="Arial" w:hAnsi="Arial" w:cs="Arial"/>
          <w:i/>
          <w:iCs/>
        </w:rPr>
        <w:t>–</w:t>
      </w:r>
      <w:r w:rsidRPr="007629BA">
        <w:rPr>
          <w:rFonts w:ascii="Arial" w:hAnsi="Arial" w:cs="Arial"/>
        </w:rPr>
        <w:t xml:space="preserve"> </w:t>
      </w:r>
      <w:r w:rsidR="007629BA" w:rsidRPr="007629BA">
        <w:rPr>
          <w:rFonts w:ascii="Arial" w:hAnsi="Arial" w:cs="Arial"/>
        </w:rPr>
        <w:t>Con l’informativa n. 57</w:t>
      </w:r>
      <w:r w:rsidR="007629BA">
        <w:rPr>
          <w:rFonts w:ascii="Arial" w:hAnsi="Arial" w:cs="Arial"/>
        </w:rPr>
        <w:t>/2026</w:t>
      </w:r>
      <w:r w:rsidR="007629BA" w:rsidRPr="007629BA">
        <w:rPr>
          <w:rFonts w:ascii="Arial" w:hAnsi="Arial" w:cs="Arial"/>
        </w:rPr>
        <w:t>, il Consiglio Nazionale ha reso disponibile la </w:t>
      </w:r>
      <w:hyperlink r:id="rId6" w:history="1">
        <w:r w:rsidR="007629BA" w:rsidRPr="007629BA">
          <w:rPr>
            <w:rFonts w:ascii="Arial" w:hAnsi="Arial" w:cs="Arial"/>
            <w:color w:val="007BB8"/>
            <w:u w:val="single"/>
            <w:bdr w:val="none" w:sz="0" w:space="0" w:color="auto" w:frame="1"/>
          </w:rPr>
          <w:t>modulistica antiriciclaggio e le relative indicazioni operative</w:t>
        </w:r>
      </w:hyperlink>
      <w:r w:rsidR="007629BA" w:rsidRPr="007629BA">
        <w:rPr>
          <w:rFonts w:ascii="Arial" w:hAnsi="Arial" w:cs="Arial"/>
        </w:rPr>
        <w:t> per la</w:t>
      </w:r>
      <w:r w:rsidR="002005C7">
        <w:rPr>
          <w:rFonts w:ascii="Arial" w:hAnsi="Arial" w:cs="Arial"/>
        </w:rPr>
        <w:t xml:space="preserve"> compilazione</w:t>
      </w:r>
      <w:r w:rsidR="007629BA" w:rsidRPr="007629BA">
        <w:rPr>
          <w:rFonts w:ascii="Arial" w:hAnsi="Arial" w:cs="Arial"/>
        </w:rPr>
        <w:t>, approvate nella seduta del 18 marzo 2026.</w:t>
      </w:r>
    </w:p>
    <w:p w14:paraId="792D4FBF" w14:textId="77777777" w:rsidR="007629BA" w:rsidRPr="007629BA" w:rsidRDefault="007629BA" w:rsidP="007629BA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C35789C" w14:textId="77777777" w:rsidR="007629BA" w:rsidRDefault="007629BA" w:rsidP="007629BA">
      <w:pPr>
        <w:shd w:val="clear" w:color="auto" w:fill="FFFFFF"/>
        <w:jc w:val="both"/>
        <w:textAlignment w:val="baseline"/>
        <w:rPr>
          <w:rFonts w:ascii="Arial" w:eastAsia="Times New Roman" w:hAnsi="Arial" w:cs="Arial"/>
        </w:rPr>
      </w:pPr>
      <w:r w:rsidRPr="007629BA">
        <w:rPr>
          <w:rFonts w:ascii="Arial" w:eastAsia="Times New Roman" w:hAnsi="Arial" w:cs="Arial"/>
        </w:rPr>
        <w:t>L’iniziativa si inserisce nel quadro delle attività istituzionali volte a rafforzare la </w:t>
      </w:r>
      <w:r w:rsidRPr="007629BA">
        <w:rPr>
          <w:rFonts w:ascii="Arial" w:eastAsia="Times New Roman" w:hAnsi="Arial" w:cs="Arial"/>
          <w:b/>
          <w:bCs/>
          <w:bdr w:val="none" w:sz="0" w:space="0" w:color="auto" w:frame="1"/>
        </w:rPr>
        <w:t>prevenzione e il contrasto</w:t>
      </w:r>
      <w:r w:rsidRPr="007629BA">
        <w:rPr>
          <w:rFonts w:ascii="Arial" w:eastAsia="Times New Roman" w:hAnsi="Arial" w:cs="Arial"/>
        </w:rPr>
        <w:t> dell’utilizzo del sistema economico e finanziario a fini di riciclaggio, finanziamento del terrorismo e proliferazione delle armi di distruzione di massa, ai sensi del d.lgs. 231/2007.</w:t>
      </w:r>
    </w:p>
    <w:p w14:paraId="7F29005D" w14:textId="77777777" w:rsidR="007629BA" w:rsidRPr="007629BA" w:rsidRDefault="007629BA" w:rsidP="007629BA">
      <w:pPr>
        <w:shd w:val="clear" w:color="auto" w:fill="FFFFFF"/>
        <w:jc w:val="both"/>
        <w:textAlignment w:val="baseline"/>
        <w:rPr>
          <w:rFonts w:ascii="Arial" w:eastAsia="Times New Roman" w:hAnsi="Arial" w:cs="Arial"/>
        </w:rPr>
      </w:pPr>
    </w:p>
    <w:p w14:paraId="0A60E266" w14:textId="2921E987" w:rsidR="007629BA" w:rsidRDefault="007629BA" w:rsidP="007629BA">
      <w:pPr>
        <w:shd w:val="clear" w:color="auto" w:fill="FFFFFF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“</w:t>
      </w:r>
      <w:r w:rsidRPr="007629BA">
        <w:rPr>
          <w:rFonts w:ascii="Arial" w:eastAsia="Times New Roman" w:hAnsi="Arial" w:cs="Arial"/>
        </w:rPr>
        <w:t>La modulistica proposta ha carattere meramente esemplificativo e non vincolante, rappresentando una guida operativa contenente gli elementi utili per effettuare le valutazioni richieste</w:t>
      </w:r>
      <w:r>
        <w:rPr>
          <w:rFonts w:ascii="Arial" w:eastAsia="Times New Roman" w:hAnsi="Arial" w:cs="Arial"/>
        </w:rPr>
        <w:t xml:space="preserve"> – </w:t>
      </w:r>
      <w:r w:rsidRPr="007629BA">
        <w:rPr>
          <w:rFonts w:ascii="Arial" w:eastAsia="Times New Roman" w:hAnsi="Arial" w:cs="Arial"/>
        </w:rPr>
        <w:t>evidenzia il Presidente dei Commercialisti </w:t>
      </w:r>
      <w:r w:rsidRPr="007629BA">
        <w:rPr>
          <w:rFonts w:ascii="Arial" w:eastAsia="Times New Roman" w:hAnsi="Arial" w:cs="Arial"/>
          <w:b/>
          <w:bCs/>
          <w:bdr w:val="none" w:sz="0" w:space="0" w:color="auto" w:frame="1"/>
        </w:rPr>
        <w:t>Elbano de Nuccio</w:t>
      </w:r>
      <w:r>
        <w:rPr>
          <w:rFonts w:ascii="Arial" w:eastAsia="Times New Roman" w:hAnsi="Arial" w:cs="Arial"/>
        </w:rPr>
        <w:t xml:space="preserve"> – </w:t>
      </w:r>
      <w:r w:rsidRPr="007629BA">
        <w:rPr>
          <w:rFonts w:ascii="Arial" w:eastAsia="Times New Roman" w:hAnsi="Arial" w:cs="Arial"/>
        </w:rPr>
        <w:t>Resta infatti centrale il</w:t>
      </w:r>
      <w:r w:rsidRPr="007629BA">
        <w:rPr>
          <w:rFonts w:ascii="Arial" w:eastAsia="Times New Roman" w:hAnsi="Arial" w:cs="Arial"/>
          <w:b/>
          <w:bCs/>
          <w:bdr w:val="none" w:sz="0" w:space="0" w:color="auto" w:frame="1"/>
        </w:rPr>
        <w:t> ruolo del professionista</w:t>
      </w:r>
      <w:r w:rsidRPr="007629BA">
        <w:rPr>
          <w:rFonts w:ascii="Arial" w:eastAsia="Times New Roman" w:hAnsi="Arial" w:cs="Arial"/>
        </w:rPr>
        <w:t>, chiamato a svolgere valutazioni </w:t>
      </w:r>
      <w:r w:rsidRPr="007629BA">
        <w:rPr>
          <w:rFonts w:ascii="Arial" w:eastAsia="Times New Roman" w:hAnsi="Arial" w:cs="Arial"/>
          <w:b/>
          <w:bCs/>
          <w:bdr w:val="none" w:sz="0" w:space="0" w:color="auto" w:frame="1"/>
        </w:rPr>
        <w:t>autonome</w:t>
      </w:r>
      <w:r w:rsidRPr="007629BA">
        <w:rPr>
          <w:rFonts w:ascii="Arial" w:eastAsia="Times New Roman" w:hAnsi="Arial" w:cs="Arial"/>
        </w:rPr>
        <w:t> e non standardizzabili, che non possono essere ricondotte a schemi automatici o presunzioni generalizzate”.</w:t>
      </w:r>
    </w:p>
    <w:p w14:paraId="069155AA" w14:textId="77777777" w:rsidR="007629BA" w:rsidRPr="007629BA" w:rsidRDefault="007629BA" w:rsidP="007629BA">
      <w:pPr>
        <w:shd w:val="clear" w:color="auto" w:fill="FFFFFF"/>
        <w:jc w:val="both"/>
        <w:textAlignment w:val="baseline"/>
        <w:rPr>
          <w:rFonts w:ascii="Arial" w:eastAsia="Times New Roman" w:hAnsi="Arial" w:cs="Arial"/>
        </w:rPr>
      </w:pPr>
    </w:p>
    <w:p w14:paraId="41DA21D8" w14:textId="06677E63" w:rsidR="007629BA" w:rsidRDefault="007629BA" w:rsidP="007629BA">
      <w:pPr>
        <w:shd w:val="clear" w:color="auto" w:fill="FFFFFF"/>
        <w:jc w:val="both"/>
        <w:textAlignment w:val="baseline"/>
        <w:rPr>
          <w:rFonts w:ascii="Arial" w:eastAsia="Times New Roman" w:hAnsi="Arial" w:cs="Arial"/>
        </w:rPr>
      </w:pPr>
      <w:r w:rsidRPr="007629BA">
        <w:rPr>
          <w:rFonts w:ascii="Arial" w:eastAsia="Times New Roman" w:hAnsi="Arial" w:cs="Arial"/>
        </w:rPr>
        <w:t>“Gli strumenti operativi approvati per accompagnare i professionisti nell’applicazione concreta delle Regole Tecniche offrono supporti coerenti con il </w:t>
      </w:r>
      <w:r w:rsidRPr="007629BA">
        <w:rPr>
          <w:rFonts w:ascii="Arial" w:eastAsia="Times New Roman" w:hAnsi="Arial" w:cs="Arial"/>
          <w:b/>
          <w:bCs/>
          <w:bdr w:val="none" w:sz="0" w:space="0" w:color="auto" w:frame="1"/>
        </w:rPr>
        <w:t>mutato quadro normativo</w:t>
      </w:r>
      <w:r>
        <w:rPr>
          <w:rFonts w:ascii="Arial" w:eastAsia="Times New Roman" w:hAnsi="Arial" w:cs="Arial"/>
          <w:b/>
          <w:bCs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</w:rPr>
        <w:t xml:space="preserve">– </w:t>
      </w:r>
      <w:r w:rsidRPr="007629BA">
        <w:rPr>
          <w:rFonts w:ascii="Arial" w:eastAsia="Times New Roman" w:hAnsi="Arial" w:cs="Arial"/>
        </w:rPr>
        <w:t>sottolinea la Consigliera nazionale delegata all’antiriciclaggio,</w:t>
      </w:r>
      <w:r w:rsidRPr="007629BA">
        <w:rPr>
          <w:rFonts w:ascii="Arial" w:eastAsia="Times New Roman" w:hAnsi="Arial" w:cs="Arial"/>
          <w:b/>
          <w:bCs/>
          <w:bdr w:val="none" w:sz="0" w:space="0" w:color="auto" w:frame="1"/>
        </w:rPr>
        <w:t> Gabriella Viggiano</w:t>
      </w:r>
      <w:r>
        <w:rPr>
          <w:rFonts w:ascii="Arial" w:eastAsia="Times New Roman" w:hAnsi="Arial" w:cs="Arial"/>
        </w:rPr>
        <w:t xml:space="preserve"> –. </w:t>
      </w:r>
      <w:r w:rsidRPr="007629BA">
        <w:rPr>
          <w:rFonts w:ascii="Arial" w:eastAsia="Times New Roman" w:hAnsi="Arial" w:cs="Arial"/>
        </w:rPr>
        <w:t>L’obiettivo è duplice: da un lato </w:t>
      </w:r>
      <w:r w:rsidRPr="007629BA">
        <w:rPr>
          <w:rFonts w:ascii="Arial" w:eastAsia="Times New Roman" w:hAnsi="Arial" w:cs="Arial"/>
          <w:b/>
          <w:bCs/>
          <w:bdr w:val="none" w:sz="0" w:space="0" w:color="auto" w:frame="1"/>
        </w:rPr>
        <w:t>facilitare</w:t>
      </w:r>
      <w:r w:rsidRPr="007629BA">
        <w:rPr>
          <w:rFonts w:ascii="Arial" w:eastAsia="Times New Roman" w:hAnsi="Arial" w:cs="Arial"/>
        </w:rPr>
        <w:t> l’adempimento degli obblighi antiriciclaggio, dall’altro rafforzare la </w:t>
      </w:r>
      <w:r w:rsidRPr="007629BA">
        <w:rPr>
          <w:rFonts w:ascii="Arial" w:eastAsia="Times New Roman" w:hAnsi="Arial" w:cs="Arial"/>
          <w:b/>
          <w:bCs/>
          <w:bdr w:val="none" w:sz="0" w:space="0" w:color="auto" w:frame="1"/>
        </w:rPr>
        <w:t>qualità</w:t>
      </w:r>
      <w:r w:rsidRPr="007629BA">
        <w:rPr>
          <w:rFonts w:ascii="Arial" w:eastAsia="Times New Roman" w:hAnsi="Arial" w:cs="Arial"/>
        </w:rPr>
        <w:t> delle valutazioni professionali, che restano centrali e non automatizzabili. Gli strumenti messi a disposizione rappresentano una </w:t>
      </w:r>
      <w:r w:rsidRPr="007629BA">
        <w:rPr>
          <w:rFonts w:ascii="Arial" w:eastAsia="Times New Roman" w:hAnsi="Arial" w:cs="Arial"/>
          <w:b/>
          <w:bCs/>
          <w:bdr w:val="none" w:sz="0" w:space="0" w:color="auto" w:frame="1"/>
        </w:rPr>
        <w:t>guida operativa</w:t>
      </w:r>
      <w:r w:rsidRPr="007629BA">
        <w:rPr>
          <w:rFonts w:ascii="Arial" w:eastAsia="Times New Roman" w:hAnsi="Arial" w:cs="Arial"/>
        </w:rPr>
        <w:t>, ma richiedono sempre un approccio </w:t>
      </w:r>
      <w:r w:rsidRPr="007629BA">
        <w:rPr>
          <w:rFonts w:ascii="Arial" w:eastAsia="Times New Roman" w:hAnsi="Arial" w:cs="Arial"/>
          <w:b/>
          <w:bCs/>
          <w:bdr w:val="none" w:sz="0" w:space="0" w:color="auto" w:frame="1"/>
        </w:rPr>
        <w:t>consapevole e personalizzato</w:t>
      </w:r>
      <w:r w:rsidRPr="007629BA">
        <w:rPr>
          <w:rFonts w:ascii="Arial" w:eastAsia="Times New Roman" w:hAnsi="Arial" w:cs="Arial"/>
        </w:rPr>
        <w:t> da parte del professionista”.</w:t>
      </w:r>
    </w:p>
    <w:p w14:paraId="7E74146C" w14:textId="77777777" w:rsidR="007629BA" w:rsidRPr="007629BA" w:rsidRDefault="007629BA" w:rsidP="007629BA">
      <w:pPr>
        <w:shd w:val="clear" w:color="auto" w:fill="FFFFFF"/>
        <w:jc w:val="both"/>
        <w:textAlignment w:val="baseline"/>
        <w:rPr>
          <w:rFonts w:ascii="Arial" w:eastAsia="Times New Roman" w:hAnsi="Arial" w:cs="Arial"/>
        </w:rPr>
      </w:pPr>
    </w:p>
    <w:p w14:paraId="68513D8C" w14:textId="77777777" w:rsidR="007629BA" w:rsidRPr="007629BA" w:rsidRDefault="007629BA" w:rsidP="007629BA">
      <w:pPr>
        <w:shd w:val="clear" w:color="auto" w:fill="FFFFFF"/>
        <w:jc w:val="both"/>
        <w:textAlignment w:val="baseline"/>
        <w:rPr>
          <w:rFonts w:ascii="Arial" w:eastAsia="Times New Roman" w:hAnsi="Arial" w:cs="Arial"/>
        </w:rPr>
      </w:pPr>
      <w:r w:rsidRPr="007629BA">
        <w:rPr>
          <w:rFonts w:ascii="Arial" w:eastAsia="Times New Roman" w:hAnsi="Arial" w:cs="Arial"/>
        </w:rPr>
        <w:t>Tra gli adempimenti più rilevanti il Consiglio ricorda che, in base alla </w:t>
      </w:r>
      <w:r w:rsidRPr="007629BA">
        <w:rPr>
          <w:rFonts w:ascii="Arial" w:eastAsia="Times New Roman" w:hAnsi="Arial" w:cs="Arial"/>
          <w:b/>
          <w:bCs/>
          <w:bdr w:val="none" w:sz="0" w:space="0" w:color="auto" w:frame="1"/>
        </w:rPr>
        <w:t>Regola Tecnica n. 1</w:t>
      </w:r>
      <w:r w:rsidRPr="007629BA">
        <w:rPr>
          <w:rFonts w:ascii="Arial" w:eastAsia="Times New Roman" w:hAnsi="Arial" w:cs="Arial"/>
        </w:rPr>
        <w:t>, entro il</w:t>
      </w:r>
      <w:r w:rsidRPr="007629BA">
        <w:rPr>
          <w:rFonts w:ascii="Arial" w:eastAsia="Times New Roman" w:hAnsi="Arial" w:cs="Arial"/>
          <w:b/>
          <w:bCs/>
          <w:bdr w:val="none" w:sz="0" w:space="0" w:color="auto" w:frame="1"/>
        </w:rPr>
        <w:t> 27 maggio 2026</w:t>
      </w:r>
      <w:r w:rsidRPr="007629BA">
        <w:rPr>
          <w:rFonts w:ascii="Arial" w:eastAsia="Times New Roman" w:hAnsi="Arial" w:cs="Arial"/>
        </w:rPr>
        <w:t> ciascun professionista dovrà aggiornare l</w:t>
      </w:r>
      <w:r w:rsidRPr="007629BA">
        <w:rPr>
          <w:rFonts w:ascii="Arial" w:eastAsia="Times New Roman" w:hAnsi="Arial" w:cs="Arial"/>
          <w:b/>
          <w:bCs/>
          <w:bdr w:val="none" w:sz="0" w:space="0" w:color="auto" w:frame="1"/>
        </w:rPr>
        <w:t>’autovalutazione del rischio</w:t>
      </w:r>
      <w:r w:rsidRPr="007629BA">
        <w:rPr>
          <w:rFonts w:ascii="Arial" w:eastAsia="Times New Roman" w:hAnsi="Arial" w:cs="Arial"/>
        </w:rPr>
        <w:t> cui è esposto il proprio studio, con riferimento alla capacità di intercettare fenomeni di riciclaggio, finanziamento del terrorismo e proliferazione.</w:t>
      </w:r>
    </w:p>
    <w:p w14:paraId="10F80A30" w14:textId="0FB31B26" w:rsidR="0077621F" w:rsidRPr="007629BA" w:rsidRDefault="0077621F" w:rsidP="007629BA">
      <w:pPr>
        <w:jc w:val="both"/>
        <w:rPr>
          <w:rFonts w:ascii="Arial" w:hAnsi="Arial" w:cs="Arial"/>
          <w:sz w:val="23"/>
          <w:szCs w:val="23"/>
        </w:rPr>
      </w:pPr>
    </w:p>
    <w:sectPr w:rsidR="0077621F" w:rsidRPr="007629B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BF46" w14:textId="77777777" w:rsidR="005738CA" w:rsidRDefault="005738CA" w:rsidP="00E57E76">
      <w:r>
        <w:separator/>
      </w:r>
    </w:p>
  </w:endnote>
  <w:endnote w:type="continuationSeparator" w:id="0">
    <w:p w14:paraId="7C15E63F" w14:textId="77777777" w:rsidR="005738CA" w:rsidRDefault="005738CA" w:rsidP="00E5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2AE5C" w14:textId="77777777" w:rsidR="005738CA" w:rsidRDefault="005738CA" w:rsidP="00E57E76">
      <w:r>
        <w:separator/>
      </w:r>
    </w:p>
  </w:footnote>
  <w:footnote w:type="continuationSeparator" w:id="0">
    <w:p w14:paraId="259152B2" w14:textId="77777777" w:rsidR="005738CA" w:rsidRDefault="005738CA" w:rsidP="00E5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6EDF" w14:textId="5B3C50DB" w:rsidR="00E57E76" w:rsidRDefault="00E57E76" w:rsidP="00E57E76">
    <w:pPr>
      <w:pStyle w:val="Intestazione"/>
      <w:jc w:val="center"/>
    </w:pPr>
    <w:r w:rsidRPr="00F6138D">
      <w:rPr>
        <w:noProof/>
      </w:rPr>
      <w:drawing>
        <wp:inline distT="0" distB="0" distL="0" distR="0" wp14:anchorId="33F6BB06" wp14:editId="1B71AA60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A9"/>
    <w:rsid w:val="00016F1E"/>
    <w:rsid w:val="00080A1C"/>
    <w:rsid w:val="0009032C"/>
    <w:rsid w:val="000914E5"/>
    <w:rsid w:val="001D2BA2"/>
    <w:rsid w:val="002005C7"/>
    <w:rsid w:val="00206A49"/>
    <w:rsid w:val="00214077"/>
    <w:rsid w:val="002310C3"/>
    <w:rsid w:val="002350C8"/>
    <w:rsid w:val="00285BF7"/>
    <w:rsid w:val="002948ED"/>
    <w:rsid w:val="00333D91"/>
    <w:rsid w:val="00336C2D"/>
    <w:rsid w:val="003861F7"/>
    <w:rsid w:val="003A4A5D"/>
    <w:rsid w:val="003A7845"/>
    <w:rsid w:val="003A7DDE"/>
    <w:rsid w:val="003F070C"/>
    <w:rsid w:val="0044215B"/>
    <w:rsid w:val="004514D9"/>
    <w:rsid w:val="00464BDB"/>
    <w:rsid w:val="00497D30"/>
    <w:rsid w:val="004F296B"/>
    <w:rsid w:val="0055064E"/>
    <w:rsid w:val="005738CA"/>
    <w:rsid w:val="005C3BD4"/>
    <w:rsid w:val="005E0C94"/>
    <w:rsid w:val="005E0DE9"/>
    <w:rsid w:val="005F4DF3"/>
    <w:rsid w:val="006603D8"/>
    <w:rsid w:val="006B004B"/>
    <w:rsid w:val="006B63E7"/>
    <w:rsid w:val="006E1AD5"/>
    <w:rsid w:val="006E423A"/>
    <w:rsid w:val="007119C0"/>
    <w:rsid w:val="007629BA"/>
    <w:rsid w:val="0077621F"/>
    <w:rsid w:val="00787E73"/>
    <w:rsid w:val="008002A9"/>
    <w:rsid w:val="0086461C"/>
    <w:rsid w:val="00950B3B"/>
    <w:rsid w:val="00953FF4"/>
    <w:rsid w:val="00976A30"/>
    <w:rsid w:val="00994AF4"/>
    <w:rsid w:val="009A049E"/>
    <w:rsid w:val="009C4CCA"/>
    <w:rsid w:val="009D1E10"/>
    <w:rsid w:val="00A06705"/>
    <w:rsid w:val="00B93394"/>
    <w:rsid w:val="00BB10F5"/>
    <w:rsid w:val="00C15AA9"/>
    <w:rsid w:val="00C22AE6"/>
    <w:rsid w:val="00C909CC"/>
    <w:rsid w:val="00C9231A"/>
    <w:rsid w:val="00CA794E"/>
    <w:rsid w:val="00CB3C8A"/>
    <w:rsid w:val="00D21CF3"/>
    <w:rsid w:val="00D23044"/>
    <w:rsid w:val="00D4645C"/>
    <w:rsid w:val="00D83F6E"/>
    <w:rsid w:val="00DE7CA9"/>
    <w:rsid w:val="00E024D0"/>
    <w:rsid w:val="00E30E7A"/>
    <w:rsid w:val="00E57E76"/>
    <w:rsid w:val="00E72AE3"/>
    <w:rsid w:val="00EE24F3"/>
    <w:rsid w:val="00F22822"/>
    <w:rsid w:val="00F31DE2"/>
    <w:rsid w:val="00F4104E"/>
    <w:rsid w:val="00F52DB5"/>
    <w:rsid w:val="00F64DFA"/>
    <w:rsid w:val="00F835B2"/>
    <w:rsid w:val="00F93505"/>
    <w:rsid w:val="00FD7172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97FB"/>
  <w15:chartTrackingRefBased/>
  <w15:docId w15:val="{837C2FF3-9097-4FC4-8CD8-AC487488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49E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A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A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A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A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A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A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A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A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A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A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A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1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A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AA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A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AA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15A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A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AA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15A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15AA9"/>
    <w:rPr>
      <w:b/>
      <w:bCs/>
    </w:rPr>
  </w:style>
  <w:style w:type="character" w:styleId="Enfasicorsivo">
    <w:name w:val="Emphasis"/>
    <w:basedOn w:val="Carpredefinitoparagrafo"/>
    <w:uiPriority w:val="20"/>
    <w:qFormat/>
    <w:rsid w:val="00C15AA9"/>
    <w:rPr>
      <w:i/>
      <w:iCs/>
    </w:rPr>
  </w:style>
  <w:style w:type="paragraph" w:customStyle="1" w:styleId="elementtoproof">
    <w:name w:val="elementtoproof"/>
    <w:basedOn w:val="Normale"/>
    <w:rsid w:val="009A049E"/>
  </w:style>
  <w:style w:type="paragraph" w:styleId="Intestazione">
    <w:name w:val="header"/>
    <w:basedOn w:val="Normale"/>
    <w:link w:val="Intestazione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22822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22822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"/>
    <w:uiPriority w:val="99"/>
    <w:unhideWhenUsed/>
    <w:rsid w:val="00F2282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F4DF3"/>
    <w:rPr>
      <w:color w:val="467886" w:themeColor="hyperlink"/>
      <w:u w:val="single"/>
    </w:rPr>
  </w:style>
  <w:style w:type="paragraph" w:customStyle="1" w:styleId="Copertina-Autori">
    <w:name w:val="Copertina - Autori"/>
    <w:basedOn w:val="Normale"/>
    <w:qFormat/>
    <w:rsid w:val="0077621F"/>
    <w:pPr>
      <w:spacing w:after="120" w:line="312" w:lineRule="auto"/>
      <w:jc w:val="both"/>
    </w:pPr>
    <w:rPr>
      <w:rFonts w:asciiTheme="minorHAnsi" w:eastAsia="Calibri" w:hAnsiTheme="minorHAnsi" w:cs="Times New Roman (Corpo CS)"/>
      <w:b/>
      <w:bCs/>
      <w:color w:val="FFFFFF" w:themeColor="background1"/>
      <w:sz w:val="26"/>
      <w:szCs w:val="28"/>
      <w:lang w:eastAsia="en-US"/>
    </w:rPr>
  </w:style>
  <w:style w:type="paragraph" w:styleId="Revisione">
    <w:name w:val="Revision"/>
    <w:hidden/>
    <w:uiPriority w:val="99"/>
    <w:semiHidden/>
    <w:rsid w:val="008002A9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ercialisti.it/informative/57-antiriciclaggio-strumenti-operativi-di-supporto-agli-adempimenti-di-cui-al-d-lgs-231-2007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dcterms:created xsi:type="dcterms:W3CDTF">2026-03-25T14:47:00Z</dcterms:created>
  <dcterms:modified xsi:type="dcterms:W3CDTF">2026-03-30T07:04:00Z</dcterms:modified>
</cp:coreProperties>
</file>