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A915" w14:textId="77777777" w:rsidR="00DB3DEA" w:rsidRPr="00CC3B4A" w:rsidRDefault="00DB3DEA" w:rsidP="00CC3B4A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C3B4A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Comunicato stampa</w:t>
      </w:r>
    </w:p>
    <w:p w14:paraId="4FC47A33" w14:textId="77777777" w:rsidR="00DB3DEA" w:rsidRPr="00CC3B4A" w:rsidRDefault="00DB3DEA" w:rsidP="00CC3B4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C3B4A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p w14:paraId="199D49AD" w14:textId="77777777" w:rsidR="00CC3B4A" w:rsidRPr="00CC3B4A" w:rsidRDefault="00CC3B4A" w:rsidP="00323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3B4A">
        <w:rPr>
          <w:rFonts w:ascii="Arial" w:hAnsi="Arial" w:cs="Arial"/>
          <w:b/>
          <w:bCs/>
          <w:sz w:val="22"/>
          <w:szCs w:val="22"/>
        </w:rPr>
        <w:t>COSTRUZIONI, CALA IL FATTURATO (-5,6%), MA CRESCONO I DIPENDENTI (+19,1%)</w:t>
      </w:r>
    </w:p>
    <w:p w14:paraId="65EE76B4" w14:textId="77777777" w:rsidR="00CC3B4A" w:rsidRPr="00CC3B4A" w:rsidRDefault="00CC3B4A" w:rsidP="003233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8ED869" w14:textId="42202313" w:rsidR="00690F75" w:rsidRPr="00CC3B4A" w:rsidRDefault="00CC3B4A" w:rsidP="00323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3B4A">
        <w:rPr>
          <w:rFonts w:ascii="Arial" w:hAnsi="Arial" w:cs="Arial"/>
          <w:b/>
          <w:bCs/>
          <w:sz w:val="22"/>
          <w:szCs w:val="22"/>
        </w:rPr>
        <w:t>I</w:t>
      </w:r>
      <w:r w:rsidR="00690F75" w:rsidRPr="00CC3B4A">
        <w:rPr>
          <w:rFonts w:ascii="Arial" w:hAnsi="Arial" w:cs="Arial"/>
          <w:b/>
          <w:bCs/>
          <w:sz w:val="22"/>
          <w:szCs w:val="22"/>
        </w:rPr>
        <w:t>l nuovo focus dell'Osservatorio Bilanci FNC dedicato ai bilanci 2024 delle società di capitali del settore edile</w:t>
      </w:r>
    </w:p>
    <w:p w14:paraId="4EFD01F9" w14:textId="77777777" w:rsidR="00CC3B4A" w:rsidRPr="00CC3B4A" w:rsidRDefault="00CC3B4A" w:rsidP="00CC3B4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109B50" w14:textId="77777777" w:rsidR="00690F75" w:rsidRPr="00CC3B4A" w:rsidRDefault="00DB3DE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CC3B4A">
        <w:rPr>
          <w:rFonts w:ascii="Arial" w:hAnsi="Arial" w:cs="Arial"/>
          <w:i/>
          <w:iCs/>
          <w:color w:val="000000"/>
          <w:sz w:val="22"/>
          <w:szCs w:val="22"/>
        </w:rPr>
        <w:t>Roma, 25 marzo 2026 -</w:t>
      </w:r>
      <w:r w:rsidRPr="00CC3B4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Nel 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2024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 ricavi aggregati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 in calo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 per le società di capitali del settore Costruzioni (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-5,6%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) per la prima volta dopo il Covid. In netta controtendenza i dipendenti che fanno registrare una 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crescita molto sostenuta (+19,1%)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.  I dati sono in linea con le risultanze statistiche dei flussi relativi alla fatturazione elettronica obbligatoria dalle quali emerge un calo del volume d’affari complessivo del settore Costruzioni 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nel 2024 pari a -7%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 con un picco a</w:t>
      </w:r>
      <w:r w:rsidR="00690F75"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 dicembre del -25%</w:t>
      </w:r>
      <w:r w:rsidR="00690F75" w:rsidRPr="00CC3B4A">
        <w:rPr>
          <w:rFonts w:ascii="Arial" w:hAnsi="Arial" w:cs="Arial"/>
          <w:color w:val="333333"/>
          <w:sz w:val="22"/>
          <w:szCs w:val="22"/>
        </w:rPr>
        <w:t>. Un calo, questo, concentrato dal lato dei soggetti diversi dalle persone fisiche per i quali si registra un -7,7%.</w:t>
      </w:r>
    </w:p>
    <w:p w14:paraId="2199B3DC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2A2BE1C1" w14:textId="1F7BE828" w:rsidR="00CC3B4A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eastAsiaTheme="majorEastAsia" w:hAnsi="Arial" w:cs="Arial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CC3B4A">
        <w:rPr>
          <w:rFonts w:ascii="Arial" w:hAnsi="Arial" w:cs="Arial"/>
          <w:color w:val="333333"/>
          <w:sz w:val="22"/>
          <w:szCs w:val="22"/>
        </w:rPr>
        <w:t>I primi dati disponibili sull’andamento dei flussi della fatturazione elettronica obbligatoria relativi al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2025</w:t>
      </w:r>
      <w:r w:rsidRPr="00CC3B4A">
        <w:rPr>
          <w:rFonts w:ascii="Arial" w:hAnsi="Arial" w:cs="Arial"/>
          <w:color w:val="333333"/>
          <w:sz w:val="22"/>
          <w:szCs w:val="22"/>
        </w:rPr>
        <w:t> indicano una ripresa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intorno al 5%,</w:t>
      </w:r>
      <w:r w:rsidRPr="00CC3B4A">
        <w:rPr>
          <w:rFonts w:ascii="Arial" w:hAnsi="Arial" w:cs="Arial"/>
          <w:color w:val="333333"/>
          <w:sz w:val="22"/>
          <w:szCs w:val="22"/>
        </w:rPr>
        <w:t> anche in questo caso concentrata dal lato dei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soggetti diversi dalle persone fisiche con +6,2%</w:t>
      </w:r>
      <w:r w:rsidR="00CC3B4A" w:rsidRPr="00CC3B4A">
        <w:rPr>
          <w:rStyle w:val="Enfasigrassetto"/>
          <w:rFonts w:ascii="Arial" w:eastAsiaTheme="majorEastAsia" w:hAnsi="Arial" w:cs="Arial"/>
          <w:b w:val="0"/>
          <w:bCs w:val="0"/>
          <w:color w:val="333333"/>
          <w:sz w:val="22"/>
          <w:szCs w:val="22"/>
          <w:bdr w:val="none" w:sz="0" w:space="0" w:color="auto" w:frame="1"/>
        </w:rPr>
        <w:t>.</w:t>
      </w:r>
    </w:p>
    <w:p w14:paraId="02FA2336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</w:pPr>
    </w:p>
    <w:p w14:paraId="2FC48ECD" w14:textId="77777777" w:rsidR="00690F75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CC3B4A">
        <w:rPr>
          <w:rFonts w:ascii="Arial" w:hAnsi="Arial" w:cs="Arial"/>
          <w:color w:val="333333"/>
          <w:sz w:val="22"/>
          <w:szCs w:val="22"/>
        </w:rPr>
        <w:t>Sono i dati contenuti nel nuovo focus dell’Osservatorio Bilanci della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Fondazione nazionale dei commercialisti – Ricerca</w:t>
      </w:r>
      <w:r w:rsidRPr="00CC3B4A">
        <w:rPr>
          <w:rFonts w:ascii="Arial" w:hAnsi="Arial" w:cs="Arial"/>
          <w:color w:val="333333"/>
          <w:sz w:val="22"/>
          <w:szCs w:val="22"/>
        </w:rPr>
        <w:t>, dedicato questa volta ai bilanci 2024 delle società di capitali del settore delle costruzioni.</w:t>
      </w:r>
    </w:p>
    <w:p w14:paraId="272AA253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22A71A27" w14:textId="77777777" w:rsidR="00690F75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CC3B4A">
        <w:rPr>
          <w:rFonts w:ascii="Arial" w:hAnsi="Arial" w:cs="Arial"/>
          <w:color w:val="333333"/>
          <w:sz w:val="22"/>
          <w:szCs w:val="22"/>
        </w:rPr>
        <w:t>Ritornando ai bilanci 2024, le società di capitali del settore Costruzioni presentano un calo piuttosto marcato dei ricavi nel comparto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costruzione di edifici (-9,7%)</w:t>
      </w:r>
      <w:r w:rsidRPr="00CC3B4A">
        <w:rPr>
          <w:rFonts w:ascii="Arial" w:hAnsi="Arial" w:cs="Arial"/>
          <w:color w:val="333333"/>
          <w:sz w:val="22"/>
          <w:szCs w:val="22"/>
        </w:rPr>
        <w:t> seguito da lavori di c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ostruzione specializzati (-5,8%),</w:t>
      </w:r>
      <w:r w:rsidRPr="00CC3B4A">
        <w:rPr>
          <w:rFonts w:ascii="Arial" w:hAnsi="Arial" w:cs="Arial"/>
          <w:color w:val="333333"/>
          <w:sz w:val="22"/>
          <w:szCs w:val="22"/>
        </w:rPr>
        <w:t> mentre il comparto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ingegneria civile</w:t>
      </w:r>
      <w:r w:rsidRPr="00CC3B4A">
        <w:rPr>
          <w:rFonts w:ascii="Arial" w:hAnsi="Arial" w:cs="Arial"/>
          <w:color w:val="333333"/>
          <w:sz w:val="22"/>
          <w:szCs w:val="22"/>
        </w:rPr>
        <w:t> fa registrare un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incremento dei ricavi (+10,3%)</w:t>
      </w:r>
      <w:r w:rsidRPr="00CC3B4A">
        <w:rPr>
          <w:rFonts w:ascii="Arial" w:hAnsi="Arial" w:cs="Arial"/>
          <w:color w:val="333333"/>
          <w:sz w:val="22"/>
          <w:szCs w:val="22"/>
        </w:rPr>
        <w:t>. Da segnalare, in particolare, un calo particolarmente significativo dei ricavi nel sotto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comparto completamento e finitura di edifici (-12,9%)</w:t>
      </w:r>
      <w:r w:rsidRPr="00CC3B4A">
        <w:rPr>
          <w:rFonts w:ascii="Arial" w:hAnsi="Arial" w:cs="Arial"/>
          <w:color w:val="333333"/>
          <w:sz w:val="22"/>
          <w:szCs w:val="22"/>
        </w:rPr>
        <w:t>, mentre si segnala una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crescita molto sostenuta</w:t>
      </w:r>
      <w:r w:rsidRPr="00CC3B4A">
        <w:rPr>
          <w:rFonts w:ascii="Arial" w:hAnsi="Arial" w:cs="Arial"/>
          <w:color w:val="333333"/>
          <w:sz w:val="22"/>
          <w:szCs w:val="22"/>
        </w:rPr>
        <w:t> dei ricavi nel sotto comparto costruzione di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altre opere di ingegneria civile (+18,2%)</w:t>
      </w:r>
      <w:r w:rsidRPr="00CC3B4A">
        <w:rPr>
          <w:rFonts w:ascii="Arial" w:hAnsi="Arial" w:cs="Arial"/>
          <w:color w:val="333333"/>
          <w:sz w:val="22"/>
          <w:szCs w:val="22"/>
        </w:rPr>
        <w:t>.</w:t>
      </w:r>
    </w:p>
    <w:p w14:paraId="4B8B019C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7FA30F2C" w14:textId="77777777" w:rsidR="00690F75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CC3B4A">
        <w:rPr>
          <w:rFonts w:ascii="Arial" w:hAnsi="Arial" w:cs="Arial"/>
          <w:color w:val="333333"/>
          <w:sz w:val="22"/>
          <w:szCs w:val="22"/>
        </w:rPr>
        <w:t>Sotto comparti più significativi in termini di ricavi sul totale sono costruzioni di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edifici residenziali e non residenziali (40,7% di ricavi sul totale)</w:t>
      </w:r>
      <w:r w:rsidRPr="00CC3B4A">
        <w:rPr>
          <w:rFonts w:ascii="Arial" w:hAnsi="Arial" w:cs="Arial"/>
          <w:color w:val="333333"/>
          <w:sz w:val="22"/>
          <w:szCs w:val="22"/>
        </w:rPr>
        <w:t> che fanno registrare uno dei cali più marcato dei ricavi (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-10,7%</w:t>
      </w:r>
      <w:r w:rsidRPr="00CC3B4A">
        <w:rPr>
          <w:rFonts w:ascii="Arial" w:hAnsi="Arial" w:cs="Arial"/>
          <w:color w:val="333333"/>
          <w:sz w:val="22"/>
          <w:szCs w:val="22"/>
        </w:rPr>
        <w:t>) e il sotto comparto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installazione di impianti elettrici, idraulici ed altri lavori di costruzione e installazione (30% di ricavi sul totale)</w:t>
      </w:r>
      <w:r w:rsidRPr="00CC3B4A">
        <w:rPr>
          <w:rFonts w:ascii="Arial" w:hAnsi="Arial" w:cs="Arial"/>
          <w:color w:val="333333"/>
          <w:sz w:val="22"/>
          <w:szCs w:val="22"/>
        </w:rPr>
        <w:t> che hanno fatto registrare un calo dei ricavi del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6,4%</w:t>
      </w:r>
      <w:r w:rsidRPr="00CC3B4A">
        <w:rPr>
          <w:rFonts w:ascii="Arial" w:hAnsi="Arial" w:cs="Arial"/>
          <w:color w:val="333333"/>
          <w:sz w:val="22"/>
          <w:szCs w:val="22"/>
        </w:rPr>
        <w:t>. In pratica, il settore Costruzioni, nel corso del 2024, pur beneficiando di una spinta importante dagli investimenti del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PNRR</w:t>
      </w:r>
      <w:r w:rsidRPr="00CC3B4A">
        <w:rPr>
          <w:rFonts w:ascii="Arial" w:hAnsi="Arial" w:cs="Arial"/>
          <w:color w:val="333333"/>
          <w:sz w:val="22"/>
          <w:szCs w:val="22"/>
        </w:rPr>
        <w:t>, ha subito una flessione soprattutto a causa del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forte contenimento delle agevolazioni edilizie</w:t>
      </w:r>
      <w:r w:rsidRPr="00CC3B4A">
        <w:rPr>
          <w:rFonts w:ascii="Arial" w:hAnsi="Arial" w:cs="Arial"/>
          <w:color w:val="333333"/>
          <w:sz w:val="22"/>
          <w:szCs w:val="22"/>
        </w:rPr>
        <w:t> che hanno evidentemente un impatto maggiore sul settore.</w:t>
      </w:r>
    </w:p>
    <w:p w14:paraId="07D761FB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2D8A165A" w14:textId="5E6EA1C6" w:rsidR="00690F75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eastAsiaTheme="majorEastAsia" w:hAnsi="Arial" w:cs="Arial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CC3B4A">
        <w:rPr>
          <w:rFonts w:ascii="Arial" w:hAnsi="Arial" w:cs="Arial"/>
          <w:color w:val="333333"/>
          <w:sz w:val="22"/>
          <w:szCs w:val="22"/>
        </w:rPr>
        <w:t>Sul piano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territoriale</w:t>
      </w:r>
      <w:r w:rsidRPr="00CC3B4A">
        <w:rPr>
          <w:rFonts w:ascii="Arial" w:hAnsi="Arial" w:cs="Arial"/>
          <w:color w:val="333333"/>
          <w:sz w:val="22"/>
          <w:szCs w:val="22"/>
        </w:rPr>
        <w:t>, i ricavi presentano cali leggermente più marcati nel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Nord-est (-7,4%) e nel Nord-ovest (-6,7%)</w:t>
      </w:r>
      <w:r w:rsidRPr="00CC3B4A">
        <w:rPr>
          <w:rFonts w:ascii="Arial" w:hAnsi="Arial" w:cs="Arial"/>
          <w:color w:val="333333"/>
          <w:sz w:val="22"/>
          <w:szCs w:val="22"/>
        </w:rPr>
        <w:t> rispetto al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 Sud (-4,7%)</w:t>
      </w:r>
      <w:r w:rsidRPr="00CC3B4A">
        <w:rPr>
          <w:rFonts w:ascii="Arial" w:hAnsi="Arial" w:cs="Arial"/>
          <w:color w:val="333333"/>
          <w:sz w:val="22"/>
          <w:szCs w:val="22"/>
        </w:rPr>
        <w:t> e al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Centro (-2,4%)</w:t>
      </w:r>
      <w:r w:rsidRPr="00CC3B4A">
        <w:rPr>
          <w:rFonts w:ascii="Arial" w:hAnsi="Arial" w:cs="Arial"/>
          <w:color w:val="333333"/>
          <w:sz w:val="22"/>
          <w:szCs w:val="22"/>
        </w:rPr>
        <w:t>. Per quanto riguarda il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valore aggiunto</w:t>
      </w:r>
      <w:r w:rsidRPr="00CC3B4A">
        <w:rPr>
          <w:rFonts w:ascii="Arial" w:hAnsi="Arial" w:cs="Arial"/>
          <w:color w:val="333333"/>
          <w:sz w:val="22"/>
          <w:szCs w:val="22"/>
        </w:rPr>
        <w:t>, nella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macroarea Sud</w:t>
      </w:r>
      <w:r w:rsidRPr="00CC3B4A">
        <w:rPr>
          <w:rFonts w:ascii="Arial" w:hAnsi="Arial" w:cs="Arial"/>
          <w:color w:val="333333"/>
          <w:sz w:val="22"/>
          <w:szCs w:val="22"/>
        </w:rPr>
        <w:t> si registra addirittura un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leggero incremento (+0,5%)</w:t>
      </w:r>
      <w:r w:rsidRPr="00CC3B4A">
        <w:rPr>
          <w:rFonts w:ascii="Arial" w:hAnsi="Arial" w:cs="Arial"/>
          <w:color w:val="333333"/>
          <w:sz w:val="22"/>
          <w:szCs w:val="22"/>
        </w:rPr>
        <w:t>. Sul piano regionale spiccano il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forte calo</w:t>
      </w:r>
      <w:r w:rsidRPr="00CC3B4A">
        <w:rPr>
          <w:rFonts w:ascii="Arial" w:hAnsi="Arial" w:cs="Arial"/>
          <w:color w:val="333333"/>
          <w:sz w:val="22"/>
          <w:szCs w:val="22"/>
        </w:rPr>
        <w:t> dei ricavi in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Friuli-Venezia Giulia (-19,1%)</w:t>
      </w:r>
      <w:r w:rsidRPr="00CC3B4A">
        <w:rPr>
          <w:rFonts w:ascii="Arial" w:hAnsi="Arial" w:cs="Arial"/>
          <w:color w:val="333333"/>
          <w:sz w:val="22"/>
          <w:szCs w:val="22"/>
        </w:rPr>
        <w:t> e i dati in controtendenza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della Puglia (+3,5%), della Sardegna (+1,9%) e della Liguria (+1,3%)</w:t>
      </w:r>
      <w:r w:rsidR="00CC3B4A" w:rsidRPr="00CC3B4A">
        <w:rPr>
          <w:rStyle w:val="Enfasigrassetto"/>
          <w:rFonts w:ascii="Arial" w:eastAsiaTheme="majorEastAsia" w:hAnsi="Arial" w:cs="Arial"/>
          <w:b w:val="0"/>
          <w:bCs w:val="0"/>
          <w:color w:val="333333"/>
          <w:sz w:val="22"/>
          <w:szCs w:val="22"/>
          <w:bdr w:val="none" w:sz="0" w:space="0" w:color="auto" w:frame="1"/>
        </w:rPr>
        <w:t>.</w:t>
      </w:r>
    </w:p>
    <w:p w14:paraId="3EA8DC79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25884ED7" w14:textId="77777777" w:rsidR="00690F75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CC3B4A">
        <w:rPr>
          <w:rFonts w:ascii="Arial" w:hAnsi="Arial" w:cs="Arial"/>
          <w:color w:val="333333"/>
          <w:sz w:val="22"/>
          <w:szCs w:val="22"/>
        </w:rPr>
        <w:t>Per quanto riguarda la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redditività</w:t>
      </w:r>
      <w:r w:rsidRPr="00CC3B4A">
        <w:rPr>
          <w:rFonts w:ascii="Arial" w:hAnsi="Arial" w:cs="Arial"/>
          <w:color w:val="333333"/>
          <w:sz w:val="22"/>
          <w:szCs w:val="22"/>
        </w:rPr>
        <w:t>, mentre la quota di società che chiude il bilancio in utile è rimasta invariata (88,3%), i principali indici di bilancio subiscono un calo. Infatti, il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Roe</w:t>
      </w:r>
      <w:r w:rsidRPr="00CC3B4A">
        <w:rPr>
          <w:rFonts w:ascii="Arial" w:hAnsi="Arial" w:cs="Arial"/>
          <w:color w:val="333333"/>
          <w:sz w:val="22"/>
          <w:szCs w:val="22"/>
        </w:rPr>
        <w:t> scende al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17,6% dal 18,9% del 2023</w:t>
      </w:r>
      <w:r w:rsidRPr="00CC3B4A">
        <w:rPr>
          <w:rFonts w:ascii="Arial" w:hAnsi="Arial" w:cs="Arial"/>
          <w:color w:val="333333"/>
          <w:sz w:val="22"/>
          <w:szCs w:val="22"/>
        </w:rPr>
        <w:t>, mentre il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Roi</w:t>
      </w:r>
      <w:r w:rsidRPr="00CC3B4A">
        <w:rPr>
          <w:rFonts w:ascii="Arial" w:hAnsi="Arial" w:cs="Arial"/>
          <w:color w:val="333333"/>
          <w:sz w:val="22"/>
          <w:szCs w:val="22"/>
        </w:rPr>
        <w:t> si porta al 1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8,2% dal 21,1%</w:t>
      </w:r>
      <w:r w:rsidRPr="00CC3B4A">
        <w:rPr>
          <w:rFonts w:ascii="Arial" w:hAnsi="Arial" w:cs="Arial"/>
          <w:color w:val="333333"/>
          <w:sz w:val="22"/>
          <w:szCs w:val="22"/>
        </w:rPr>
        <w:t> dell’anno prima.</w:t>
      </w:r>
    </w:p>
    <w:p w14:paraId="109B042E" w14:textId="77777777" w:rsidR="00CC3B4A" w:rsidRPr="00CC3B4A" w:rsidRDefault="00CC3B4A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6013E4A8" w14:textId="0BCEF7D6" w:rsidR="00DB3DEA" w:rsidRPr="00CC3B4A" w:rsidRDefault="00690F75" w:rsidP="00CC3B4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C3B4A">
        <w:rPr>
          <w:rFonts w:ascii="Arial" w:hAnsi="Arial" w:cs="Arial"/>
          <w:color w:val="333333"/>
          <w:sz w:val="22"/>
          <w:szCs w:val="22"/>
        </w:rPr>
        <w:t>I dati presentati nel focus sono elaborati aggregando i dati dei bilanci delle società di capitali del settore Costruzioni che hanno </w:t>
      </w:r>
      <w:r w:rsidRPr="00CC3B4A">
        <w:rPr>
          <w:rStyle w:val="Enfasigrassetto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più di 100 mila euro e meno di 1 miliardo di euro di ricavi.</w:t>
      </w:r>
      <w:r w:rsidRPr="00CC3B4A">
        <w:rPr>
          <w:rFonts w:ascii="Arial" w:hAnsi="Arial" w:cs="Arial"/>
          <w:color w:val="333333"/>
          <w:sz w:val="22"/>
          <w:szCs w:val="22"/>
        </w:rPr>
        <w:t> Questo per escludere dall’analisi le aziende troppo piccole e quelle troppo grandi che altrimenti possono avere un effetto distorsivo sui dati.</w:t>
      </w:r>
    </w:p>
    <w:sectPr w:rsidR="00DB3DEA" w:rsidRPr="00CC3B4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3B51" w14:textId="77777777" w:rsidR="00F472F9" w:rsidRDefault="00F472F9" w:rsidP="00E57E76">
      <w:r>
        <w:separator/>
      </w:r>
    </w:p>
  </w:endnote>
  <w:endnote w:type="continuationSeparator" w:id="0">
    <w:p w14:paraId="24C7997B" w14:textId="77777777" w:rsidR="00F472F9" w:rsidRDefault="00F472F9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5267" w14:textId="77777777" w:rsidR="00F472F9" w:rsidRDefault="00F472F9" w:rsidP="00E57E76">
      <w:r>
        <w:separator/>
      </w:r>
    </w:p>
  </w:footnote>
  <w:footnote w:type="continuationSeparator" w:id="0">
    <w:p w14:paraId="7F2DDC0F" w14:textId="77777777" w:rsidR="00F472F9" w:rsidRDefault="00F472F9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80A1C"/>
    <w:rsid w:val="0009032C"/>
    <w:rsid w:val="00135350"/>
    <w:rsid w:val="00214077"/>
    <w:rsid w:val="002350C8"/>
    <w:rsid w:val="002948ED"/>
    <w:rsid w:val="00323396"/>
    <w:rsid w:val="00333D91"/>
    <w:rsid w:val="003861F7"/>
    <w:rsid w:val="003A4A5D"/>
    <w:rsid w:val="00464BDB"/>
    <w:rsid w:val="00497D30"/>
    <w:rsid w:val="004F296B"/>
    <w:rsid w:val="005E0C94"/>
    <w:rsid w:val="005E0DE9"/>
    <w:rsid w:val="00690F75"/>
    <w:rsid w:val="006B004B"/>
    <w:rsid w:val="006E1AD5"/>
    <w:rsid w:val="00735309"/>
    <w:rsid w:val="00787E73"/>
    <w:rsid w:val="009A049E"/>
    <w:rsid w:val="009C4CCA"/>
    <w:rsid w:val="00A06705"/>
    <w:rsid w:val="00C15AA9"/>
    <w:rsid w:val="00C22AE6"/>
    <w:rsid w:val="00CB3C8A"/>
    <w:rsid w:val="00CC3B4A"/>
    <w:rsid w:val="00CC617C"/>
    <w:rsid w:val="00D23044"/>
    <w:rsid w:val="00D4645C"/>
    <w:rsid w:val="00DB3DEA"/>
    <w:rsid w:val="00E024D0"/>
    <w:rsid w:val="00E30E7A"/>
    <w:rsid w:val="00E57E76"/>
    <w:rsid w:val="00E72AE3"/>
    <w:rsid w:val="00F472F9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2026-03-04T15:50:00Z</dcterms:created>
  <dcterms:modified xsi:type="dcterms:W3CDTF">2026-03-25T10:50:00Z</dcterms:modified>
</cp:coreProperties>
</file>