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F181" w14:textId="77777777" w:rsidR="00E57E76" w:rsidRPr="007629BA" w:rsidRDefault="00E57E76" w:rsidP="00950B3B">
      <w:pPr>
        <w:jc w:val="both"/>
        <w:rPr>
          <w:rFonts w:ascii="Arial" w:hAnsi="Arial" w:cs="Arial"/>
          <w:b/>
          <w:bCs/>
          <w:u w:val="single"/>
        </w:rPr>
      </w:pPr>
    </w:p>
    <w:p w14:paraId="1182451F" w14:textId="1DC93C93" w:rsidR="00E30E7A" w:rsidRPr="00107219" w:rsidRDefault="00E30E7A" w:rsidP="00107219">
      <w:pPr>
        <w:jc w:val="center"/>
        <w:rPr>
          <w:rFonts w:ascii="Arial" w:hAnsi="Arial" w:cs="Arial"/>
          <w:b/>
          <w:bCs/>
          <w:u w:val="single"/>
        </w:rPr>
      </w:pPr>
      <w:r w:rsidRPr="00107219">
        <w:rPr>
          <w:rFonts w:ascii="Arial" w:hAnsi="Arial" w:cs="Arial"/>
          <w:b/>
          <w:bCs/>
          <w:u w:val="single"/>
        </w:rPr>
        <w:t>Comunicato stampa</w:t>
      </w:r>
    </w:p>
    <w:p w14:paraId="1592536B" w14:textId="77777777" w:rsidR="001B5F0B" w:rsidRPr="00107219" w:rsidRDefault="001B5F0B" w:rsidP="00107219">
      <w:pPr>
        <w:jc w:val="center"/>
        <w:rPr>
          <w:rFonts w:ascii="Arial" w:hAnsi="Arial" w:cs="Arial"/>
          <w:b/>
          <w:bCs/>
          <w:u w:val="single"/>
        </w:rPr>
      </w:pPr>
    </w:p>
    <w:p w14:paraId="405136F5" w14:textId="66275C55" w:rsidR="00D04C1A" w:rsidRDefault="00D04C1A" w:rsidP="00107219">
      <w:pPr>
        <w:jc w:val="center"/>
        <w:rPr>
          <w:rFonts w:ascii="Arial" w:hAnsi="Arial" w:cs="Arial"/>
          <w:b/>
        </w:rPr>
      </w:pPr>
      <w:r w:rsidRPr="00107219">
        <w:rPr>
          <w:rFonts w:ascii="Arial" w:hAnsi="Arial" w:cs="Arial"/>
          <w:b/>
        </w:rPr>
        <w:t>SOSTENIBILITÀ: DAI COMMERCIALISTI UNA GUIDA SU</w:t>
      </w:r>
      <w:r w:rsidR="009C64E4" w:rsidRPr="00107219">
        <w:rPr>
          <w:rFonts w:ascii="Arial" w:hAnsi="Arial" w:cs="Arial"/>
          <w:b/>
        </w:rPr>
        <w:t>I FATTORI ESG NELLA VALUTAZIONE D’AZIENDA</w:t>
      </w:r>
    </w:p>
    <w:p w14:paraId="3B28B5D0" w14:textId="77777777" w:rsidR="00107219" w:rsidRPr="00107219" w:rsidRDefault="00107219" w:rsidP="00107219">
      <w:pPr>
        <w:jc w:val="center"/>
        <w:rPr>
          <w:rFonts w:ascii="Arial" w:hAnsi="Arial" w:cs="Arial"/>
          <w:b/>
        </w:rPr>
      </w:pPr>
    </w:p>
    <w:p w14:paraId="337B13D5" w14:textId="746F6630" w:rsidR="009C64E4" w:rsidRDefault="00427BD3" w:rsidP="00107219">
      <w:pPr>
        <w:jc w:val="center"/>
        <w:rPr>
          <w:rFonts w:ascii="Arial" w:hAnsi="Arial" w:cs="Arial"/>
          <w:b/>
        </w:rPr>
      </w:pPr>
      <w:r w:rsidRPr="00107219">
        <w:rPr>
          <w:rFonts w:ascii="Arial" w:hAnsi="Arial" w:cs="Arial"/>
          <w:b/>
        </w:rPr>
        <w:t xml:space="preserve">Dal Consiglio </w:t>
      </w:r>
      <w:r w:rsidR="00107219">
        <w:rPr>
          <w:rFonts w:ascii="Arial" w:hAnsi="Arial" w:cs="Arial"/>
          <w:b/>
        </w:rPr>
        <w:t>N</w:t>
      </w:r>
      <w:r w:rsidRPr="00107219">
        <w:rPr>
          <w:rFonts w:ascii="Arial" w:hAnsi="Arial" w:cs="Arial"/>
          <w:b/>
        </w:rPr>
        <w:t>azionale della categoria un approfondimento sugli elementi strategici, gestionali e informativi</w:t>
      </w:r>
    </w:p>
    <w:p w14:paraId="0BEB4C10" w14:textId="77777777" w:rsidR="00107219" w:rsidRPr="00107219" w:rsidRDefault="00107219" w:rsidP="00107219">
      <w:pPr>
        <w:jc w:val="center"/>
        <w:rPr>
          <w:rFonts w:ascii="Arial" w:hAnsi="Arial" w:cs="Arial"/>
          <w:b/>
        </w:rPr>
      </w:pPr>
    </w:p>
    <w:p w14:paraId="3C0EA5E0" w14:textId="682EE4A0" w:rsidR="00D04C1A" w:rsidRDefault="00D04C1A" w:rsidP="00107219">
      <w:pPr>
        <w:jc w:val="both"/>
        <w:rPr>
          <w:rFonts w:ascii="Arial" w:hAnsi="Arial" w:cs="Arial"/>
          <w:bCs/>
        </w:rPr>
      </w:pPr>
      <w:r w:rsidRPr="00107219">
        <w:rPr>
          <w:rFonts w:ascii="Arial" w:hAnsi="Arial" w:cs="Arial"/>
          <w:bCs/>
          <w:i/>
          <w:iCs/>
        </w:rPr>
        <w:t xml:space="preserve">Roma, 31 marzo 2026 </w:t>
      </w:r>
      <w:r w:rsidR="00107219">
        <w:rPr>
          <w:rFonts w:ascii="Arial" w:hAnsi="Arial" w:cs="Arial"/>
          <w:bCs/>
          <w:i/>
          <w:iCs/>
        </w:rPr>
        <w:t>–</w:t>
      </w:r>
      <w:r w:rsidRPr="00107219">
        <w:rPr>
          <w:rFonts w:ascii="Arial" w:hAnsi="Arial" w:cs="Arial"/>
          <w:bCs/>
          <w:i/>
          <w:iCs/>
        </w:rPr>
        <w:t xml:space="preserve"> </w:t>
      </w:r>
      <w:r w:rsidRPr="00107219">
        <w:rPr>
          <w:rFonts w:ascii="Arial" w:hAnsi="Arial" w:cs="Arial"/>
          <w:bCs/>
        </w:rPr>
        <w:t>“</w:t>
      </w:r>
      <w:r w:rsidR="000C77A4" w:rsidRPr="00107219">
        <w:rPr>
          <w:rFonts w:ascii="Arial" w:hAnsi="Arial" w:cs="Arial"/>
          <w:b/>
        </w:rPr>
        <w:t>I fattori ESG nella valutazione d’azienda</w:t>
      </w:r>
      <w:r w:rsidR="00107219">
        <w:rPr>
          <w:rFonts w:ascii="Arial" w:hAnsi="Arial" w:cs="Arial"/>
          <w:b/>
        </w:rPr>
        <w:t>:</w:t>
      </w:r>
      <w:r w:rsidR="000C77A4" w:rsidRPr="00107219">
        <w:rPr>
          <w:rFonts w:ascii="Arial" w:hAnsi="Arial" w:cs="Arial"/>
          <w:b/>
        </w:rPr>
        <w:t xml:space="preserve"> elementi strategici, gestionali e informativi</w:t>
      </w:r>
      <w:r w:rsidRPr="00107219">
        <w:rPr>
          <w:rFonts w:ascii="Arial" w:hAnsi="Arial" w:cs="Arial"/>
          <w:bCs/>
        </w:rPr>
        <w:t xml:space="preserve">” è il titolo </w:t>
      </w:r>
      <w:r w:rsidR="000C77A4" w:rsidRPr="00107219">
        <w:rPr>
          <w:rFonts w:ascii="Arial" w:hAnsi="Arial" w:cs="Arial"/>
          <w:bCs/>
        </w:rPr>
        <w:t xml:space="preserve">del documento </w:t>
      </w:r>
      <w:r w:rsidRPr="00107219">
        <w:rPr>
          <w:rFonts w:ascii="Arial" w:hAnsi="Arial" w:cs="Arial"/>
          <w:bCs/>
        </w:rPr>
        <w:t>pubblicat</w:t>
      </w:r>
      <w:r w:rsidR="000C77A4" w:rsidRPr="00107219">
        <w:rPr>
          <w:rFonts w:ascii="Arial" w:hAnsi="Arial" w:cs="Arial"/>
          <w:bCs/>
        </w:rPr>
        <w:t>o</w:t>
      </w:r>
      <w:r w:rsidRPr="00107219">
        <w:rPr>
          <w:rFonts w:ascii="Arial" w:hAnsi="Arial" w:cs="Arial"/>
          <w:bCs/>
        </w:rPr>
        <w:t xml:space="preserve"> dal Consiglio </w:t>
      </w:r>
      <w:r w:rsidR="00107219">
        <w:rPr>
          <w:rFonts w:ascii="Arial" w:hAnsi="Arial" w:cs="Arial"/>
          <w:bCs/>
        </w:rPr>
        <w:t>N</w:t>
      </w:r>
      <w:r w:rsidRPr="00107219">
        <w:rPr>
          <w:rFonts w:ascii="Arial" w:hAnsi="Arial" w:cs="Arial"/>
          <w:bCs/>
        </w:rPr>
        <w:t xml:space="preserve">azionale dei </w:t>
      </w:r>
      <w:r w:rsidR="00107219">
        <w:rPr>
          <w:rFonts w:ascii="Arial" w:hAnsi="Arial" w:cs="Arial"/>
          <w:bCs/>
        </w:rPr>
        <w:t>C</w:t>
      </w:r>
      <w:r w:rsidRPr="00107219">
        <w:rPr>
          <w:rFonts w:ascii="Arial" w:hAnsi="Arial" w:cs="Arial"/>
          <w:bCs/>
        </w:rPr>
        <w:t xml:space="preserve">ommercialisti nell’ambito dell’attività dell’area “Principi contabili e di valutazione” alla quale è delegato il </w:t>
      </w:r>
      <w:r w:rsidR="00107219">
        <w:rPr>
          <w:rFonts w:ascii="Arial" w:hAnsi="Arial" w:cs="Arial"/>
          <w:bCs/>
        </w:rPr>
        <w:t>P</w:t>
      </w:r>
      <w:r w:rsidRPr="00107219">
        <w:rPr>
          <w:rFonts w:ascii="Arial" w:hAnsi="Arial" w:cs="Arial"/>
          <w:bCs/>
        </w:rPr>
        <w:t xml:space="preserve">residente nazionale </w:t>
      </w:r>
      <w:r w:rsidRPr="00107219">
        <w:rPr>
          <w:rFonts w:ascii="Arial" w:hAnsi="Arial" w:cs="Arial"/>
          <w:b/>
        </w:rPr>
        <w:t>Elbano de Nuccio</w:t>
      </w:r>
      <w:r w:rsidRPr="00107219">
        <w:rPr>
          <w:rFonts w:ascii="Arial" w:hAnsi="Arial" w:cs="Arial"/>
          <w:bCs/>
        </w:rPr>
        <w:t>.</w:t>
      </w:r>
    </w:p>
    <w:p w14:paraId="3AA5827E" w14:textId="77777777" w:rsidR="00107219" w:rsidRPr="00107219" w:rsidRDefault="00107219" w:rsidP="00107219">
      <w:pPr>
        <w:jc w:val="both"/>
        <w:rPr>
          <w:rFonts w:ascii="Arial" w:hAnsi="Arial" w:cs="Arial"/>
          <w:bCs/>
        </w:rPr>
      </w:pPr>
    </w:p>
    <w:p w14:paraId="7AFB02D1" w14:textId="036C8D62" w:rsidR="00322E2F" w:rsidRDefault="00322E2F" w:rsidP="00107219">
      <w:pPr>
        <w:jc w:val="both"/>
        <w:rPr>
          <w:rFonts w:ascii="Arial" w:hAnsi="Arial" w:cs="Arial"/>
          <w:bCs/>
        </w:rPr>
      </w:pPr>
      <w:r w:rsidRPr="00107219">
        <w:rPr>
          <w:rFonts w:ascii="Arial" w:hAnsi="Arial" w:cs="Arial"/>
          <w:bCs/>
        </w:rPr>
        <w:t xml:space="preserve">Il documento arriva dopo quello, pubblicato dallo stesso Consiglio nazionale nell’agosto del 2024, dedicato a </w:t>
      </w:r>
      <w:r w:rsidRPr="00107219">
        <w:rPr>
          <w:rFonts w:ascii="Arial" w:hAnsi="Arial" w:cs="Arial"/>
          <w:bCs/>
          <w:i/>
          <w:iCs/>
        </w:rPr>
        <w:t>“</w:t>
      </w:r>
      <w:r w:rsidRPr="00107219">
        <w:rPr>
          <w:rFonts w:ascii="Arial" w:hAnsi="Arial" w:cs="Arial"/>
          <w:b/>
          <w:i/>
          <w:iCs/>
        </w:rPr>
        <w:t>I fattori ESG nella valutazione d’azienda: la costruzione della base informativa</w:t>
      </w:r>
      <w:r w:rsidRPr="00107219">
        <w:rPr>
          <w:rFonts w:ascii="Arial" w:hAnsi="Arial" w:cs="Arial"/>
          <w:bCs/>
          <w:i/>
          <w:iCs/>
        </w:rPr>
        <w:t>”</w:t>
      </w:r>
      <w:r w:rsidR="00427BD3" w:rsidRPr="00107219">
        <w:rPr>
          <w:rFonts w:ascii="Arial" w:hAnsi="Arial" w:cs="Arial"/>
          <w:bCs/>
        </w:rPr>
        <w:t>.</w:t>
      </w:r>
      <w:r w:rsidRPr="00107219">
        <w:rPr>
          <w:rFonts w:ascii="Arial" w:hAnsi="Arial" w:cs="Arial"/>
          <w:bCs/>
        </w:rPr>
        <w:t xml:space="preserve"> </w:t>
      </w:r>
      <w:r w:rsidR="00427BD3" w:rsidRPr="00107219">
        <w:rPr>
          <w:rFonts w:ascii="Arial" w:hAnsi="Arial" w:cs="Arial"/>
          <w:bCs/>
        </w:rPr>
        <w:t>G</w:t>
      </w:r>
      <w:r w:rsidRPr="00107219">
        <w:rPr>
          <w:rFonts w:ascii="Arial" w:hAnsi="Arial" w:cs="Arial"/>
          <w:bCs/>
        </w:rPr>
        <w:t xml:space="preserve">ià </w:t>
      </w:r>
      <w:r w:rsidR="00427BD3" w:rsidRPr="00107219">
        <w:rPr>
          <w:rFonts w:ascii="Arial" w:hAnsi="Arial" w:cs="Arial"/>
          <w:bCs/>
        </w:rPr>
        <w:t xml:space="preserve">allora si </w:t>
      </w:r>
      <w:r w:rsidRPr="00107219">
        <w:rPr>
          <w:rFonts w:ascii="Arial" w:hAnsi="Arial" w:cs="Arial"/>
          <w:bCs/>
        </w:rPr>
        <w:t>precisava</w:t>
      </w:r>
      <w:r w:rsidR="00427BD3" w:rsidRPr="00107219">
        <w:rPr>
          <w:rFonts w:ascii="Arial" w:hAnsi="Arial" w:cs="Arial"/>
          <w:bCs/>
        </w:rPr>
        <w:t xml:space="preserve"> </w:t>
      </w:r>
      <w:r w:rsidRPr="00107219">
        <w:rPr>
          <w:rFonts w:ascii="Arial" w:hAnsi="Arial" w:cs="Arial"/>
          <w:bCs/>
        </w:rPr>
        <w:t>che la vastità e la complessità intrinseca del processo di valutazione ESG avrebbe</w:t>
      </w:r>
      <w:r w:rsidR="00107219">
        <w:rPr>
          <w:rFonts w:ascii="Arial" w:hAnsi="Arial" w:cs="Arial"/>
          <w:bCs/>
        </w:rPr>
        <w:t>ro</w:t>
      </w:r>
      <w:r w:rsidRPr="00107219">
        <w:rPr>
          <w:rFonts w:ascii="Arial" w:hAnsi="Arial" w:cs="Arial"/>
          <w:bCs/>
        </w:rPr>
        <w:t xml:space="preserve"> necessitato di strutturare </w:t>
      </w:r>
      <w:r w:rsidR="00427BD3" w:rsidRPr="00107219">
        <w:rPr>
          <w:rFonts w:ascii="Arial" w:hAnsi="Arial" w:cs="Arial"/>
          <w:bCs/>
        </w:rPr>
        <w:t>quel</w:t>
      </w:r>
      <w:r w:rsidRPr="00107219">
        <w:rPr>
          <w:rFonts w:ascii="Arial" w:hAnsi="Arial" w:cs="Arial"/>
          <w:bCs/>
        </w:rPr>
        <w:t xml:space="preserve">la Guida in </w:t>
      </w:r>
      <w:r w:rsidR="00427BD3" w:rsidRPr="00107219">
        <w:rPr>
          <w:rFonts w:ascii="Arial" w:hAnsi="Arial" w:cs="Arial"/>
          <w:bCs/>
        </w:rPr>
        <w:t xml:space="preserve">più </w:t>
      </w:r>
      <w:r w:rsidRPr="00107219">
        <w:rPr>
          <w:rFonts w:ascii="Arial" w:hAnsi="Arial" w:cs="Arial"/>
          <w:bCs/>
        </w:rPr>
        <w:t xml:space="preserve">volumi, mantenendo il riferimento alle </w:t>
      </w:r>
      <w:r w:rsidRPr="00107219">
        <w:rPr>
          <w:rFonts w:ascii="Arial" w:hAnsi="Arial" w:cs="Arial"/>
          <w:b/>
        </w:rPr>
        <w:t>piccole e medie imprese (PMI)</w:t>
      </w:r>
      <w:r w:rsidRPr="00107219">
        <w:rPr>
          <w:rFonts w:ascii="Arial" w:hAnsi="Arial" w:cs="Arial"/>
          <w:bCs/>
        </w:rPr>
        <w:t xml:space="preserve"> che, sebbene non abbiano obblighi normativi di rendicontazione inerenti ai richiamati fattori ESG, intendono o sono orientate ad adottare iniziative di sostenibilità. Gli obiettivi dichiarati del suddetto documento </w:t>
      </w:r>
      <w:r w:rsidR="00115C7C" w:rsidRPr="00107219">
        <w:rPr>
          <w:rFonts w:ascii="Arial" w:hAnsi="Arial" w:cs="Arial"/>
          <w:bCs/>
        </w:rPr>
        <w:t xml:space="preserve">erano quindi </w:t>
      </w:r>
      <w:r w:rsidRPr="00107219">
        <w:rPr>
          <w:rFonts w:ascii="Arial" w:hAnsi="Arial" w:cs="Arial"/>
          <w:bCs/>
        </w:rPr>
        <w:t>orientati ad aiutare il valutatore nella costruzione del “</w:t>
      </w:r>
      <w:r w:rsidRPr="00107219">
        <w:rPr>
          <w:rFonts w:ascii="Arial" w:hAnsi="Arial" w:cs="Arial"/>
          <w:b/>
        </w:rPr>
        <w:t>ponte informativo</w:t>
      </w:r>
      <w:r w:rsidRPr="00107219">
        <w:rPr>
          <w:rFonts w:ascii="Arial" w:hAnsi="Arial" w:cs="Arial"/>
          <w:bCs/>
        </w:rPr>
        <w:t xml:space="preserve">” essenziale per applicare le pratiche valutative alle aziende condizionate dai fattori ESG nello svolgimento della loro attività d’impresa e fornire al valutatore gli strumenti idonei ad integrare la base informativa con le informazioni ESG nei contesti in cui la PMI può non disporre di un </w:t>
      </w:r>
      <w:r w:rsidRPr="00107219">
        <w:rPr>
          <w:rFonts w:ascii="Arial" w:hAnsi="Arial" w:cs="Arial"/>
          <w:b/>
        </w:rPr>
        <w:t>set informativo</w:t>
      </w:r>
      <w:r w:rsidRPr="00107219">
        <w:rPr>
          <w:rFonts w:ascii="Arial" w:hAnsi="Arial" w:cs="Arial"/>
          <w:bCs/>
        </w:rPr>
        <w:t xml:space="preserve"> di sostenibilità organico e completo.</w:t>
      </w:r>
    </w:p>
    <w:p w14:paraId="0D5E8D8D" w14:textId="77777777" w:rsidR="00107219" w:rsidRPr="00107219" w:rsidRDefault="00107219" w:rsidP="00107219">
      <w:pPr>
        <w:jc w:val="both"/>
        <w:rPr>
          <w:rFonts w:ascii="Arial" w:hAnsi="Arial" w:cs="Arial"/>
          <w:bCs/>
        </w:rPr>
      </w:pPr>
    </w:p>
    <w:p w14:paraId="27E17386" w14:textId="341F6F0C" w:rsidR="00427BD3" w:rsidRDefault="00427BD3" w:rsidP="00107219">
      <w:pPr>
        <w:jc w:val="both"/>
        <w:rPr>
          <w:rFonts w:ascii="Arial" w:hAnsi="Arial" w:cs="Arial"/>
          <w:bCs/>
        </w:rPr>
      </w:pPr>
      <w:r w:rsidRPr="00107219">
        <w:rPr>
          <w:rFonts w:ascii="Arial" w:hAnsi="Arial" w:cs="Arial"/>
          <w:bCs/>
        </w:rPr>
        <w:t xml:space="preserve">“L’attuale volume – spiega de Nuccio </w:t>
      </w:r>
      <w:r w:rsidR="00107219">
        <w:rPr>
          <w:rFonts w:ascii="Arial" w:hAnsi="Arial" w:cs="Arial"/>
          <w:bCs/>
        </w:rPr>
        <w:t>–,</w:t>
      </w:r>
      <w:r w:rsidRPr="00107219">
        <w:rPr>
          <w:rFonts w:ascii="Arial" w:hAnsi="Arial" w:cs="Arial"/>
          <w:bCs/>
        </w:rPr>
        <w:t xml:space="preserve"> che si pone come continuazione e integrazione del documento emanato nel 2024, ha l’obiettivo di fornire al valutatore gli </w:t>
      </w:r>
      <w:r w:rsidRPr="00107219">
        <w:rPr>
          <w:rFonts w:ascii="Arial" w:hAnsi="Arial" w:cs="Arial"/>
          <w:b/>
        </w:rPr>
        <w:t>strumenti necessari</w:t>
      </w:r>
      <w:r w:rsidRPr="00107219">
        <w:rPr>
          <w:rFonts w:ascii="Arial" w:hAnsi="Arial" w:cs="Arial"/>
          <w:bCs/>
        </w:rPr>
        <w:t xml:space="preserve"> per una </w:t>
      </w:r>
      <w:r w:rsidRPr="00107219">
        <w:rPr>
          <w:rFonts w:ascii="Arial" w:hAnsi="Arial" w:cs="Arial"/>
          <w:b/>
        </w:rPr>
        <w:t>solida analisi fondamentale</w:t>
      </w:r>
      <w:r w:rsidRPr="00107219">
        <w:rPr>
          <w:rFonts w:ascii="Arial" w:hAnsi="Arial" w:cs="Arial"/>
          <w:bCs/>
        </w:rPr>
        <w:t xml:space="preserve"> con alcune </w:t>
      </w:r>
      <w:r w:rsidRPr="00107219">
        <w:rPr>
          <w:rFonts w:ascii="Arial" w:hAnsi="Arial" w:cs="Arial"/>
          <w:b/>
        </w:rPr>
        <w:t>proposte operative</w:t>
      </w:r>
      <w:r w:rsidRPr="00107219">
        <w:rPr>
          <w:rFonts w:ascii="Arial" w:hAnsi="Arial" w:cs="Arial"/>
          <w:bCs/>
        </w:rPr>
        <w:t xml:space="preserve"> ed </w:t>
      </w:r>
      <w:r w:rsidRPr="00107219">
        <w:rPr>
          <w:rFonts w:ascii="Arial" w:hAnsi="Arial" w:cs="Arial"/>
          <w:b/>
        </w:rPr>
        <w:t>esempi</w:t>
      </w:r>
      <w:r w:rsidRPr="00107219">
        <w:rPr>
          <w:rFonts w:ascii="Arial" w:hAnsi="Arial" w:cs="Arial"/>
          <w:bCs/>
        </w:rPr>
        <w:t xml:space="preserve"> che possano costituire un punto di riferimento pratico e un </w:t>
      </w:r>
      <w:r w:rsidRPr="00107219">
        <w:rPr>
          <w:rFonts w:ascii="Arial" w:hAnsi="Arial" w:cs="Arial"/>
          <w:b/>
        </w:rPr>
        <w:t>valido supporto</w:t>
      </w:r>
      <w:r w:rsidRPr="00107219">
        <w:rPr>
          <w:rFonts w:ascii="Arial" w:hAnsi="Arial" w:cs="Arial"/>
          <w:bCs/>
        </w:rPr>
        <w:t xml:space="preserve"> per guidarlo nell’applicazione concreta dell’analisi fondamentale”.</w:t>
      </w:r>
    </w:p>
    <w:p w14:paraId="0A679C59" w14:textId="77777777" w:rsidR="00107219" w:rsidRPr="00107219" w:rsidRDefault="00107219" w:rsidP="00107219">
      <w:pPr>
        <w:jc w:val="both"/>
        <w:rPr>
          <w:rFonts w:ascii="Arial" w:hAnsi="Arial" w:cs="Arial"/>
          <w:bCs/>
        </w:rPr>
      </w:pPr>
    </w:p>
    <w:p w14:paraId="0AA80B4F" w14:textId="3DA8BEE2" w:rsidR="00322E2F" w:rsidRPr="00107219" w:rsidRDefault="00115C7C" w:rsidP="00107219">
      <w:pPr>
        <w:jc w:val="both"/>
        <w:rPr>
          <w:rFonts w:ascii="Arial" w:hAnsi="Arial" w:cs="Arial"/>
          <w:bCs/>
        </w:rPr>
      </w:pPr>
      <w:r w:rsidRPr="00107219">
        <w:rPr>
          <w:rFonts w:ascii="Arial" w:hAnsi="Arial" w:cs="Arial"/>
          <w:bCs/>
        </w:rPr>
        <w:t>A tale proposito, i</w:t>
      </w:r>
      <w:r w:rsidR="00322E2F" w:rsidRPr="00107219">
        <w:rPr>
          <w:rFonts w:ascii="Arial" w:hAnsi="Arial" w:cs="Arial"/>
          <w:bCs/>
        </w:rPr>
        <w:t xml:space="preserve">l </w:t>
      </w:r>
      <w:r w:rsidR="00322E2F" w:rsidRPr="00107219">
        <w:rPr>
          <w:rFonts w:ascii="Arial" w:hAnsi="Arial" w:cs="Arial"/>
          <w:b/>
        </w:rPr>
        <w:t>Principio Italiano di Valutazione (PIV) II.4.3</w:t>
      </w:r>
      <w:r w:rsidR="00322E2F" w:rsidRPr="00107219">
        <w:rPr>
          <w:rFonts w:ascii="Arial" w:hAnsi="Arial" w:cs="Arial"/>
          <w:bCs/>
        </w:rPr>
        <w:t xml:space="preserve"> indica i contenuti minimi che devono essere riportati nella </w:t>
      </w:r>
      <w:r w:rsidR="00322E2F" w:rsidRPr="00107219">
        <w:rPr>
          <w:rFonts w:ascii="Arial" w:hAnsi="Arial" w:cs="Arial"/>
          <w:b/>
        </w:rPr>
        <w:t>relazione di valutazione</w:t>
      </w:r>
      <w:r w:rsidR="00322E2F" w:rsidRPr="00107219">
        <w:rPr>
          <w:rFonts w:ascii="Arial" w:hAnsi="Arial" w:cs="Arial"/>
          <w:bCs/>
        </w:rPr>
        <w:t xml:space="preserve"> e, tra questi, richiama l’analisi fondamentale quale contenuto successivo alla costituzione e all’apprezzamento della base informativa. Successivamente il </w:t>
      </w:r>
      <w:r w:rsidR="00322E2F" w:rsidRPr="00107219">
        <w:rPr>
          <w:rFonts w:ascii="Arial" w:hAnsi="Arial" w:cs="Arial"/>
          <w:b/>
        </w:rPr>
        <w:t xml:space="preserve">PIV III.1.2 </w:t>
      </w:r>
      <w:r w:rsidR="00322E2F" w:rsidRPr="00107219">
        <w:rPr>
          <w:rFonts w:ascii="Arial" w:hAnsi="Arial" w:cs="Arial"/>
          <w:bCs/>
        </w:rPr>
        <w:t>prevede, relativamente all’analisi fondamentale, le seguenti fasi:</w:t>
      </w:r>
    </w:p>
    <w:p w14:paraId="6BC68115" w14:textId="77777777" w:rsidR="00322E2F" w:rsidRPr="00107219" w:rsidRDefault="00322E2F" w:rsidP="0010721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107219">
        <w:rPr>
          <w:rFonts w:ascii="Arial" w:hAnsi="Arial" w:cs="Arial"/>
          <w:bCs/>
        </w:rPr>
        <w:t>l’analisi strategica a livello di settore/mercato (o settori/mercati) di riferimento, volta ad individuare le prospettive generali e i fattori critici di successo;</w:t>
      </w:r>
    </w:p>
    <w:p w14:paraId="3952E2FD" w14:textId="77777777" w:rsidR="00322E2F" w:rsidRPr="00107219" w:rsidRDefault="00322E2F" w:rsidP="0010721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107219">
        <w:rPr>
          <w:rFonts w:ascii="Arial" w:hAnsi="Arial" w:cs="Arial"/>
          <w:bCs/>
        </w:rPr>
        <w:t>l’analisi strategica a livello di azienda, per individuare le fonti del vantaggio competitivo e la sua sostenibilità;</w:t>
      </w:r>
    </w:p>
    <w:p w14:paraId="3BDACE2A" w14:textId="77777777" w:rsidR="00322E2F" w:rsidRPr="00107219" w:rsidRDefault="00322E2F" w:rsidP="0010721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107219">
        <w:rPr>
          <w:rFonts w:ascii="Arial" w:hAnsi="Arial" w:cs="Arial"/>
          <w:bCs/>
        </w:rPr>
        <w:t>l’analisi della documentazione contabile aziendale, anche di tipo gestionale, per individuare l’evoluzione dei driver di valore;</w:t>
      </w:r>
    </w:p>
    <w:p w14:paraId="5423FB52" w14:textId="77777777" w:rsidR="00322E2F" w:rsidRPr="00107219" w:rsidRDefault="00322E2F" w:rsidP="0010721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107219">
        <w:rPr>
          <w:rFonts w:ascii="Arial" w:hAnsi="Arial" w:cs="Arial"/>
          <w:bCs/>
        </w:rPr>
        <w:t>l’esame delle previsioni economiche e finanziarie, conseguenti alle scelte relative allo svolgimento dei processi aziendali;</w:t>
      </w:r>
    </w:p>
    <w:p w14:paraId="036D5F5F" w14:textId="77777777" w:rsidR="00322E2F" w:rsidRPr="00107219" w:rsidRDefault="00322E2F" w:rsidP="0010721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107219">
        <w:rPr>
          <w:rFonts w:ascii="Arial" w:hAnsi="Arial" w:cs="Arial"/>
          <w:bCs/>
        </w:rPr>
        <w:t>l’analisi dei dati relativi allo scenario economico e al mercato dei capitali con particolare riferimento ai tassi, ai risultati di società confrontabili e ai giudizi espressi dagli analisti (se disponibili).</w:t>
      </w:r>
    </w:p>
    <w:p w14:paraId="428C9BB2" w14:textId="77777777" w:rsidR="00322E2F" w:rsidRPr="00107219" w:rsidRDefault="00322E2F" w:rsidP="00107219">
      <w:pPr>
        <w:jc w:val="both"/>
        <w:rPr>
          <w:rFonts w:ascii="Arial" w:hAnsi="Arial" w:cs="Arial"/>
          <w:bCs/>
        </w:rPr>
      </w:pPr>
    </w:p>
    <w:p w14:paraId="273DE338" w14:textId="77777777" w:rsidR="00322E2F" w:rsidRPr="00107219" w:rsidRDefault="00322E2F" w:rsidP="00107219">
      <w:pPr>
        <w:jc w:val="both"/>
        <w:rPr>
          <w:rFonts w:ascii="Arial" w:hAnsi="Arial" w:cs="Arial"/>
          <w:bCs/>
        </w:rPr>
      </w:pPr>
    </w:p>
    <w:p w14:paraId="10F80A30" w14:textId="0FB31B26" w:rsidR="0077621F" w:rsidRPr="00107219" w:rsidRDefault="0077621F" w:rsidP="00107219">
      <w:pPr>
        <w:jc w:val="both"/>
        <w:rPr>
          <w:rFonts w:ascii="Arial" w:hAnsi="Arial" w:cs="Arial"/>
        </w:rPr>
      </w:pPr>
    </w:p>
    <w:sectPr w:rsidR="0077621F" w:rsidRPr="0010721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9479" w14:textId="77777777" w:rsidR="004F413B" w:rsidRDefault="004F413B" w:rsidP="00E57E76">
      <w:r>
        <w:separator/>
      </w:r>
    </w:p>
  </w:endnote>
  <w:endnote w:type="continuationSeparator" w:id="0">
    <w:p w14:paraId="1C590D32" w14:textId="77777777" w:rsidR="004F413B" w:rsidRDefault="004F413B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4723" w14:textId="77777777" w:rsidR="004F413B" w:rsidRDefault="004F413B" w:rsidP="00E57E76">
      <w:r>
        <w:separator/>
      </w:r>
    </w:p>
  </w:footnote>
  <w:footnote w:type="continuationSeparator" w:id="0">
    <w:p w14:paraId="0FEA2BBC" w14:textId="77777777" w:rsidR="004F413B" w:rsidRDefault="004F413B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CAF"/>
    <w:multiLevelType w:val="hybridMultilevel"/>
    <w:tmpl w:val="262A9872"/>
    <w:lvl w:ilvl="0" w:tplc="A1F23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2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16F1E"/>
    <w:rsid w:val="00080A1C"/>
    <w:rsid w:val="0009032C"/>
    <w:rsid w:val="000908EC"/>
    <w:rsid w:val="000914E5"/>
    <w:rsid w:val="000C77A4"/>
    <w:rsid w:val="00107219"/>
    <w:rsid w:val="00115C7C"/>
    <w:rsid w:val="001B5F0B"/>
    <w:rsid w:val="001D2BA2"/>
    <w:rsid w:val="002005C7"/>
    <w:rsid w:val="00206A49"/>
    <w:rsid w:val="00214077"/>
    <w:rsid w:val="002310C3"/>
    <w:rsid w:val="002350C8"/>
    <w:rsid w:val="00285BF7"/>
    <w:rsid w:val="002948ED"/>
    <w:rsid w:val="00322E2F"/>
    <w:rsid w:val="00333D91"/>
    <w:rsid w:val="00336C2D"/>
    <w:rsid w:val="003861F7"/>
    <w:rsid w:val="003A4A5D"/>
    <w:rsid w:val="003A7845"/>
    <w:rsid w:val="003A7DDE"/>
    <w:rsid w:val="003F070C"/>
    <w:rsid w:val="00427BD3"/>
    <w:rsid w:val="0044215B"/>
    <w:rsid w:val="004514D9"/>
    <w:rsid w:val="00464BDB"/>
    <w:rsid w:val="00497D30"/>
    <w:rsid w:val="004C09FD"/>
    <w:rsid w:val="004F296B"/>
    <w:rsid w:val="004F413B"/>
    <w:rsid w:val="0055064E"/>
    <w:rsid w:val="005738CA"/>
    <w:rsid w:val="00587F51"/>
    <w:rsid w:val="005C36A7"/>
    <w:rsid w:val="005C3BD4"/>
    <w:rsid w:val="005E0C94"/>
    <w:rsid w:val="005E0DE9"/>
    <w:rsid w:val="005F4DF3"/>
    <w:rsid w:val="006603D8"/>
    <w:rsid w:val="006B004B"/>
    <w:rsid w:val="006B63E7"/>
    <w:rsid w:val="006E1AD5"/>
    <w:rsid w:val="006E423A"/>
    <w:rsid w:val="007119C0"/>
    <w:rsid w:val="007629BA"/>
    <w:rsid w:val="0077621F"/>
    <w:rsid w:val="00787E73"/>
    <w:rsid w:val="007B6038"/>
    <w:rsid w:val="008002A9"/>
    <w:rsid w:val="00803FFA"/>
    <w:rsid w:val="0086461C"/>
    <w:rsid w:val="00950B3B"/>
    <w:rsid w:val="00953FF4"/>
    <w:rsid w:val="00976A30"/>
    <w:rsid w:val="00994AF4"/>
    <w:rsid w:val="009A049E"/>
    <w:rsid w:val="009C4CCA"/>
    <w:rsid w:val="009C64E4"/>
    <w:rsid w:val="009D1E10"/>
    <w:rsid w:val="00A06705"/>
    <w:rsid w:val="00AB2931"/>
    <w:rsid w:val="00B44750"/>
    <w:rsid w:val="00B93394"/>
    <w:rsid w:val="00BB10F5"/>
    <w:rsid w:val="00C15AA9"/>
    <w:rsid w:val="00C22AE6"/>
    <w:rsid w:val="00C909CC"/>
    <w:rsid w:val="00C9231A"/>
    <w:rsid w:val="00CA794E"/>
    <w:rsid w:val="00CB3C8A"/>
    <w:rsid w:val="00CC5920"/>
    <w:rsid w:val="00D04C1A"/>
    <w:rsid w:val="00D21CF3"/>
    <w:rsid w:val="00D23044"/>
    <w:rsid w:val="00D4645C"/>
    <w:rsid w:val="00D83F6E"/>
    <w:rsid w:val="00DE7CA9"/>
    <w:rsid w:val="00E024D0"/>
    <w:rsid w:val="00E30E7A"/>
    <w:rsid w:val="00E503C3"/>
    <w:rsid w:val="00E57E76"/>
    <w:rsid w:val="00E72AE3"/>
    <w:rsid w:val="00EE24F3"/>
    <w:rsid w:val="00F22822"/>
    <w:rsid w:val="00F31DE2"/>
    <w:rsid w:val="00F4104E"/>
    <w:rsid w:val="00F52DB5"/>
    <w:rsid w:val="00F64DFA"/>
    <w:rsid w:val="00F835B2"/>
    <w:rsid w:val="00F93505"/>
    <w:rsid w:val="00FD7172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22822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2822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"/>
    <w:uiPriority w:val="99"/>
    <w:unhideWhenUsed/>
    <w:rsid w:val="00F2282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F4DF3"/>
    <w:rPr>
      <w:color w:val="467886" w:themeColor="hyperlink"/>
      <w:u w:val="single"/>
    </w:rPr>
  </w:style>
  <w:style w:type="paragraph" w:customStyle="1" w:styleId="Copertina-Autori">
    <w:name w:val="Copertina - Autori"/>
    <w:basedOn w:val="Normale"/>
    <w:qFormat/>
    <w:rsid w:val="0077621F"/>
    <w:pPr>
      <w:spacing w:after="120" w:line="312" w:lineRule="auto"/>
      <w:jc w:val="both"/>
    </w:pPr>
    <w:rPr>
      <w:rFonts w:asciiTheme="minorHAnsi" w:eastAsia="Calibri" w:hAnsiTheme="minorHAnsi" w:cs="Times New Roman (Corpo CS)"/>
      <w:b/>
      <w:bCs/>
      <w:color w:val="FFFFFF" w:themeColor="background1"/>
      <w:sz w:val="26"/>
      <w:szCs w:val="28"/>
      <w:lang w:eastAsia="en-US"/>
    </w:rPr>
  </w:style>
  <w:style w:type="paragraph" w:styleId="Revisione">
    <w:name w:val="Revision"/>
    <w:hidden/>
    <w:uiPriority w:val="99"/>
    <w:semiHidden/>
    <w:rsid w:val="008002A9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2026-03-31T13:11:00Z</dcterms:created>
  <dcterms:modified xsi:type="dcterms:W3CDTF">2026-03-31T13:55:00Z</dcterms:modified>
</cp:coreProperties>
</file>