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C0CF8" w14:textId="77777777" w:rsidR="00201E16" w:rsidRDefault="00201E16" w:rsidP="00201E16">
      <w:pPr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5781AFFC" w14:textId="25042214" w:rsidR="00201E16" w:rsidRPr="00201E16" w:rsidRDefault="00201E16" w:rsidP="00201E16">
      <w:pPr>
        <w:jc w:val="center"/>
        <w:rPr>
          <w:rFonts w:ascii="Arial" w:eastAsia="Times New Roman" w:hAnsi="Arial" w:cs="Arial"/>
          <w:color w:val="000000"/>
        </w:rPr>
      </w:pPr>
      <w:r w:rsidRPr="00201E16">
        <w:rPr>
          <w:rFonts w:ascii="Arial" w:eastAsia="Times New Roman" w:hAnsi="Arial" w:cs="Arial"/>
          <w:b/>
          <w:bCs/>
          <w:color w:val="000000"/>
          <w:u w:val="single"/>
        </w:rPr>
        <w:t>Comunicato stampa</w:t>
      </w:r>
    </w:p>
    <w:p w14:paraId="2549308A" w14:textId="77777777" w:rsidR="00201E16" w:rsidRPr="00201E16" w:rsidRDefault="00201E16" w:rsidP="00201E16">
      <w:pPr>
        <w:jc w:val="center"/>
        <w:rPr>
          <w:rFonts w:ascii="Arial" w:eastAsia="Times New Roman" w:hAnsi="Arial" w:cs="Arial"/>
          <w:color w:val="000000"/>
        </w:rPr>
      </w:pPr>
      <w:r w:rsidRPr="00201E16">
        <w:rPr>
          <w:rFonts w:ascii="Arial" w:eastAsia="Times New Roman" w:hAnsi="Arial" w:cs="Arial"/>
          <w:color w:val="000000"/>
        </w:rPr>
        <w:t> </w:t>
      </w:r>
    </w:p>
    <w:p w14:paraId="03D7D762" w14:textId="77777777" w:rsidR="00201E16" w:rsidRDefault="00201E16" w:rsidP="00201E16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201E16">
        <w:rPr>
          <w:rFonts w:ascii="Arial" w:eastAsia="Times New Roman" w:hAnsi="Arial" w:cs="Arial"/>
          <w:b/>
          <w:bCs/>
          <w:color w:val="000000"/>
        </w:rPr>
        <w:t>COMMERCIALISTI, FOCUS SUL CASH POOLING</w:t>
      </w:r>
    </w:p>
    <w:p w14:paraId="53CC3777" w14:textId="77777777" w:rsidR="00201E16" w:rsidRPr="00201E16" w:rsidRDefault="00201E16" w:rsidP="00201E16">
      <w:pPr>
        <w:jc w:val="center"/>
        <w:rPr>
          <w:rFonts w:ascii="Arial" w:eastAsia="Times New Roman" w:hAnsi="Arial" w:cs="Arial"/>
          <w:color w:val="000000"/>
        </w:rPr>
      </w:pPr>
    </w:p>
    <w:p w14:paraId="0A6E7564" w14:textId="77777777" w:rsidR="00201E16" w:rsidRDefault="00201E16" w:rsidP="00201E16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201E16">
        <w:rPr>
          <w:rFonts w:ascii="Arial" w:eastAsia="Times New Roman" w:hAnsi="Arial" w:cs="Arial"/>
          <w:b/>
          <w:bCs/>
          <w:color w:val="000000"/>
        </w:rPr>
        <w:t>Documento del Consiglio e della Fondazione nazionali della categoria su uno strumento che richiede attente valutazioni da parte di imprese e professionisti</w:t>
      </w:r>
    </w:p>
    <w:p w14:paraId="1DE491E9" w14:textId="77777777" w:rsidR="00201E16" w:rsidRPr="00201E16" w:rsidRDefault="00201E16" w:rsidP="00201E16">
      <w:pPr>
        <w:jc w:val="center"/>
        <w:rPr>
          <w:rFonts w:ascii="Arial" w:eastAsia="Times New Roman" w:hAnsi="Arial" w:cs="Arial"/>
          <w:color w:val="000000"/>
        </w:rPr>
      </w:pPr>
    </w:p>
    <w:p w14:paraId="4A9A25F0" w14:textId="77777777" w:rsidR="00201E16" w:rsidRDefault="00201E16" w:rsidP="00201E16">
      <w:pPr>
        <w:jc w:val="both"/>
        <w:rPr>
          <w:rFonts w:ascii="Arial" w:eastAsia="Times New Roman" w:hAnsi="Arial" w:cs="Arial"/>
          <w:color w:val="000000"/>
        </w:rPr>
      </w:pPr>
      <w:r w:rsidRPr="00201E16">
        <w:rPr>
          <w:rFonts w:ascii="Arial" w:eastAsia="Times New Roman" w:hAnsi="Arial" w:cs="Arial"/>
          <w:i/>
          <w:iCs/>
          <w:color w:val="000000"/>
        </w:rPr>
        <w:t xml:space="preserve">Roma, 25 febbraio 2026 – </w:t>
      </w:r>
      <w:r w:rsidRPr="00201E16">
        <w:rPr>
          <w:rFonts w:ascii="Arial" w:eastAsia="Times New Roman" w:hAnsi="Arial" w:cs="Arial"/>
          <w:b/>
          <w:bCs/>
          <w:color w:val="000000"/>
        </w:rPr>
        <w:t xml:space="preserve">“Il </w:t>
      </w:r>
      <w:r w:rsidRPr="00201E16">
        <w:rPr>
          <w:rFonts w:ascii="Arial" w:eastAsia="Times New Roman" w:hAnsi="Arial" w:cs="Arial"/>
          <w:b/>
          <w:bCs/>
          <w:i/>
          <w:iCs/>
          <w:color w:val="000000"/>
        </w:rPr>
        <w:t>cash pooling</w:t>
      </w:r>
      <w:r w:rsidRPr="00201E16">
        <w:rPr>
          <w:rFonts w:ascii="Arial" w:eastAsia="Times New Roman" w:hAnsi="Arial" w:cs="Arial"/>
          <w:b/>
          <w:bCs/>
          <w:color w:val="000000"/>
        </w:rPr>
        <w:t xml:space="preserve">: vantaggi, aspetti operativi e contabili” </w:t>
      </w:r>
      <w:r w:rsidRPr="00201E16">
        <w:rPr>
          <w:rFonts w:ascii="Arial" w:eastAsia="Times New Roman" w:hAnsi="Arial" w:cs="Arial"/>
          <w:color w:val="000000"/>
        </w:rPr>
        <w:t>è il titolo di un documento pubblicato oggi da Consiglio e Fondazione nazionali dei commercialisti, realizzato nell’ambito dell’attività d</w:t>
      </w:r>
      <w:r w:rsidRPr="00201E16">
        <w:rPr>
          <w:rFonts w:ascii="Arial" w:eastAsia="Times New Roman" w:hAnsi="Arial" w:cs="Arial"/>
        </w:rPr>
        <w:t>e</w:t>
      </w:r>
      <w:r w:rsidRPr="00201E16">
        <w:rPr>
          <w:rFonts w:ascii="Arial" w:eastAsia="Times New Roman" w:hAnsi="Arial" w:cs="Arial"/>
          <w:color w:val="000000"/>
        </w:rPr>
        <w:t xml:space="preserve">ll’area </w:t>
      </w:r>
      <w:r w:rsidRPr="00201E16">
        <w:rPr>
          <w:rFonts w:ascii="Arial" w:eastAsia="Times New Roman" w:hAnsi="Arial" w:cs="Arial"/>
        </w:rPr>
        <w:t>“</w:t>
      </w:r>
      <w:r w:rsidRPr="00201E16">
        <w:rPr>
          <w:rFonts w:ascii="Arial" w:eastAsia="Times New Roman" w:hAnsi="Arial" w:cs="Arial"/>
          <w:color w:val="000000"/>
        </w:rPr>
        <w:t>Finanza aziendale</w:t>
      </w:r>
      <w:r w:rsidRPr="00201E16">
        <w:rPr>
          <w:rFonts w:ascii="Arial" w:eastAsia="Times New Roman" w:hAnsi="Arial" w:cs="Arial"/>
        </w:rPr>
        <w:t xml:space="preserve">” a cui </w:t>
      </w:r>
      <w:r w:rsidRPr="00201E16">
        <w:rPr>
          <w:rFonts w:ascii="Arial" w:eastAsia="Times New Roman" w:hAnsi="Arial" w:cs="Arial"/>
          <w:color w:val="000000"/>
        </w:rPr>
        <w:t xml:space="preserve">è delegato il </w:t>
      </w:r>
      <w:r w:rsidRPr="00201E16">
        <w:rPr>
          <w:rFonts w:ascii="Arial" w:eastAsia="Times New Roman" w:hAnsi="Arial" w:cs="Arial"/>
        </w:rPr>
        <w:t>V</w:t>
      </w:r>
      <w:r w:rsidRPr="00201E16">
        <w:rPr>
          <w:rFonts w:ascii="Arial" w:eastAsia="Times New Roman" w:hAnsi="Arial" w:cs="Arial"/>
          <w:color w:val="000000"/>
        </w:rPr>
        <w:t xml:space="preserve">icepresidente nazionale della categoria </w:t>
      </w:r>
      <w:r w:rsidRPr="00201E16">
        <w:rPr>
          <w:rFonts w:ascii="Arial" w:eastAsia="Times New Roman" w:hAnsi="Arial" w:cs="Arial"/>
          <w:b/>
          <w:bCs/>
          <w:color w:val="000000"/>
        </w:rPr>
        <w:t>Antonio Repaci</w:t>
      </w:r>
      <w:r w:rsidRPr="00201E16">
        <w:rPr>
          <w:rFonts w:ascii="Arial" w:eastAsia="Times New Roman" w:hAnsi="Arial" w:cs="Arial"/>
          <w:color w:val="000000"/>
        </w:rPr>
        <w:t>.</w:t>
      </w:r>
    </w:p>
    <w:p w14:paraId="7409CDC8" w14:textId="77777777" w:rsidR="00201E16" w:rsidRPr="00201E16" w:rsidRDefault="00201E16" w:rsidP="00201E16">
      <w:pPr>
        <w:jc w:val="both"/>
        <w:rPr>
          <w:rFonts w:ascii="Arial" w:eastAsia="Times New Roman" w:hAnsi="Arial" w:cs="Arial"/>
          <w:color w:val="000000"/>
        </w:rPr>
      </w:pPr>
    </w:p>
    <w:p w14:paraId="16AE5343" w14:textId="77777777" w:rsidR="00201E16" w:rsidRDefault="00201E16" w:rsidP="00201E16">
      <w:pPr>
        <w:jc w:val="both"/>
        <w:rPr>
          <w:rFonts w:ascii="Arial" w:eastAsia="Times New Roman" w:hAnsi="Arial" w:cs="Arial"/>
          <w:color w:val="000000"/>
        </w:rPr>
      </w:pPr>
      <w:r w:rsidRPr="00201E16">
        <w:rPr>
          <w:rFonts w:ascii="Arial" w:eastAsia="Times New Roman" w:hAnsi="Arial" w:cs="Arial"/>
          <w:color w:val="000000"/>
        </w:rPr>
        <w:t xml:space="preserve">Il fenomeno del </w:t>
      </w:r>
      <w:r w:rsidRPr="00201E16">
        <w:rPr>
          <w:rFonts w:ascii="Arial" w:eastAsia="Times New Roman" w:hAnsi="Arial" w:cs="Arial"/>
          <w:i/>
          <w:iCs/>
          <w:color w:val="000000"/>
        </w:rPr>
        <w:t xml:space="preserve">cash pooling </w:t>
      </w:r>
      <w:r w:rsidRPr="00201E16">
        <w:rPr>
          <w:rFonts w:ascii="Arial" w:eastAsia="Times New Roman" w:hAnsi="Arial" w:cs="Arial"/>
          <w:color w:val="000000"/>
        </w:rPr>
        <w:t xml:space="preserve">ha assunto crescente rilevanza nella </w:t>
      </w:r>
      <w:r w:rsidRPr="00201E16">
        <w:rPr>
          <w:rFonts w:ascii="Arial" w:eastAsia="Times New Roman" w:hAnsi="Arial" w:cs="Arial"/>
          <w:b/>
          <w:bCs/>
          <w:color w:val="000000"/>
        </w:rPr>
        <w:t>gestione aziendale</w:t>
      </w:r>
      <w:r w:rsidRPr="00201E16">
        <w:rPr>
          <w:rFonts w:ascii="Arial" w:eastAsia="Times New Roman" w:hAnsi="Arial" w:cs="Arial"/>
          <w:color w:val="000000"/>
        </w:rPr>
        <w:t xml:space="preserve">, soprattutto nei gruppi societari di dimensioni </w:t>
      </w:r>
      <w:r w:rsidRPr="00201E16">
        <w:rPr>
          <w:rFonts w:ascii="Arial" w:eastAsia="Times New Roman" w:hAnsi="Arial" w:cs="Arial"/>
          <w:b/>
          <w:bCs/>
          <w:color w:val="000000"/>
        </w:rPr>
        <w:t>medio-grandi</w:t>
      </w:r>
      <w:r w:rsidRPr="00201E16">
        <w:rPr>
          <w:rFonts w:ascii="Arial" w:eastAsia="Times New Roman" w:hAnsi="Arial" w:cs="Arial"/>
          <w:color w:val="000000"/>
        </w:rPr>
        <w:t xml:space="preserve">, per la ricerca di strumenti in grado di </w:t>
      </w:r>
      <w:r w:rsidRPr="00201E16">
        <w:rPr>
          <w:rFonts w:ascii="Arial" w:eastAsia="Times New Roman" w:hAnsi="Arial" w:cs="Arial"/>
          <w:b/>
          <w:bCs/>
          <w:color w:val="000000"/>
        </w:rPr>
        <w:t>razionalizzare ed efficientare</w:t>
      </w:r>
      <w:r w:rsidRPr="00201E16">
        <w:rPr>
          <w:rFonts w:ascii="Arial" w:eastAsia="Times New Roman" w:hAnsi="Arial" w:cs="Arial"/>
          <w:color w:val="000000"/>
        </w:rPr>
        <w:t> la gestione della liquidità.</w:t>
      </w:r>
    </w:p>
    <w:p w14:paraId="26E9A7FB" w14:textId="77777777" w:rsidR="00201E16" w:rsidRPr="00201E16" w:rsidRDefault="00201E16" w:rsidP="00201E16">
      <w:pPr>
        <w:jc w:val="both"/>
        <w:rPr>
          <w:rFonts w:ascii="Arial" w:eastAsia="Times New Roman" w:hAnsi="Arial" w:cs="Arial"/>
          <w:color w:val="000000"/>
        </w:rPr>
      </w:pPr>
    </w:p>
    <w:p w14:paraId="38BCFA78" w14:textId="77777777" w:rsidR="00201E16" w:rsidRDefault="00201E16" w:rsidP="00201E16">
      <w:pPr>
        <w:jc w:val="both"/>
        <w:rPr>
          <w:rFonts w:ascii="Arial" w:eastAsia="Times New Roman" w:hAnsi="Arial" w:cs="Arial"/>
          <w:color w:val="000000"/>
        </w:rPr>
      </w:pPr>
      <w:r w:rsidRPr="00201E16">
        <w:rPr>
          <w:rFonts w:ascii="Arial" w:eastAsia="Times New Roman" w:hAnsi="Arial" w:cs="Arial"/>
          <w:color w:val="000000"/>
        </w:rPr>
        <w:t>Il termine “</w:t>
      </w:r>
      <w:r w:rsidRPr="00201E16">
        <w:rPr>
          <w:rFonts w:ascii="Arial" w:eastAsia="Times New Roman" w:hAnsi="Arial" w:cs="Arial"/>
          <w:i/>
          <w:iCs/>
          <w:color w:val="000000"/>
        </w:rPr>
        <w:t>cash pooling</w:t>
      </w:r>
      <w:r w:rsidRPr="00201E16">
        <w:rPr>
          <w:rFonts w:ascii="Arial" w:eastAsia="Times New Roman" w:hAnsi="Arial" w:cs="Arial"/>
          <w:color w:val="000000"/>
        </w:rPr>
        <w:t>” indica un meccanismo che consente l’</w:t>
      </w:r>
      <w:r w:rsidRPr="00201E16">
        <w:rPr>
          <w:rFonts w:ascii="Arial" w:eastAsia="Times New Roman" w:hAnsi="Arial" w:cs="Arial"/>
          <w:b/>
          <w:bCs/>
          <w:color w:val="000000"/>
        </w:rPr>
        <w:t xml:space="preserve">amministrazione unitaria e centralizzata </w:t>
      </w:r>
      <w:r w:rsidRPr="00201E16">
        <w:rPr>
          <w:rFonts w:ascii="Arial" w:eastAsia="Times New Roman" w:hAnsi="Arial" w:cs="Arial"/>
          <w:color w:val="000000"/>
        </w:rPr>
        <w:t xml:space="preserve">delle disponibilità finanziarie delle società appartenenti a un gruppo, favorendo la </w:t>
      </w:r>
      <w:r w:rsidRPr="00201E16">
        <w:rPr>
          <w:rFonts w:ascii="Arial" w:eastAsia="Times New Roman" w:hAnsi="Arial" w:cs="Arial"/>
          <w:b/>
          <w:bCs/>
          <w:color w:val="000000"/>
        </w:rPr>
        <w:t>mitigazione</w:t>
      </w:r>
      <w:r w:rsidRPr="00201E16">
        <w:rPr>
          <w:rFonts w:ascii="Arial" w:eastAsia="Times New Roman" w:hAnsi="Arial" w:cs="Arial"/>
          <w:color w:val="000000"/>
        </w:rPr>
        <w:t xml:space="preserve"> di </w:t>
      </w:r>
      <w:r w:rsidRPr="00201E16">
        <w:rPr>
          <w:rFonts w:ascii="Arial" w:eastAsia="Times New Roman" w:hAnsi="Arial" w:cs="Arial"/>
          <w:b/>
          <w:bCs/>
          <w:color w:val="000000"/>
        </w:rPr>
        <w:t xml:space="preserve">diseconomie </w:t>
      </w:r>
      <w:r w:rsidRPr="00201E16">
        <w:rPr>
          <w:rFonts w:ascii="Arial" w:eastAsia="Times New Roman" w:hAnsi="Arial" w:cs="Arial"/>
          <w:color w:val="000000"/>
        </w:rPr>
        <w:t xml:space="preserve">attraverso politiche di </w:t>
      </w:r>
      <w:r w:rsidRPr="00201E16">
        <w:rPr>
          <w:rFonts w:ascii="Arial" w:eastAsia="Times New Roman" w:hAnsi="Arial" w:cs="Arial"/>
          <w:b/>
          <w:bCs/>
          <w:color w:val="000000"/>
        </w:rPr>
        <w:t>compensazione</w:t>
      </w:r>
      <w:r w:rsidRPr="00201E16">
        <w:rPr>
          <w:rFonts w:ascii="Arial" w:eastAsia="Times New Roman" w:hAnsi="Arial" w:cs="Arial"/>
          <w:color w:val="000000"/>
        </w:rPr>
        <w:t> dei saldi tra i conti correnti delle varie entità coinvolte.</w:t>
      </w:r>
    </w:p>
    <w:p w14:paraId="1FEEBBD0" w14:textId="77777777" w:rsidR="00201E16" w:rsidRPr="00201E16" w:rsidRDefault="00201E16" w:rsidP="00201E16">
      <w:pPr>
        <w:jc w:val="both"/>
        <w:rPr>
          <w:rFonts w:ascii="Arial" w:eastAsia="Times New Roman" w:hAnsi="Arial" w:cs="Arial"/>
          <w:color w:val="000000"/>
        </w:rPr>
      </w:pPr>
    </w:p>
    <w:p w14:paraId="44E1B239" w14:textId="77777777" w:rsidR="00201E16" w:rsidRDefault="00201E16" w:rsidP="00201E16">
      <w:pPr>
        <w:jc w:val="both"/>
        <w:rPr>
          <w:rFonts w:ascii="Arial" w:eastAsia="Times New Roman" w:hAnsi="Arial" w:cs="Arial"/>
          <w:color w:val="000000"/>
        </w:rPr>
      </w:pPr>
      <w:r w:rsidRPr="00201E16">
        <w:rPr>
          <w:rFonts w:ascii="Arial" w:eastAsia="Times New Roman" w:hAnsi="Arial" w:cs="Arial"/>
          <w:color w:val="000000"/>
        </w:rPr>
        <w:t>L’obiettivo principale di tale sistema è l’</w:t>
      </w:r>
      <w:r w:rsidRPr="00201E16">
        <w:rPr>
          <w:rFonts w:ascii="Arial" w:eastAsia="Times New Roman" w:hAnsi="Arial" w:cs="Arial"/>
          <w:b/>
          <w:bCs/>
          <w:color w:val="000000"/>
        </w:rPr>
        <w:t>ottimizzazione dei flussi finanziari</w:t>
      </w:r>
      <w:r w:rsidRPr="00201E16">
        <w:rPr>
          <w:rFonts w:ascii="Arial" w:eastAsia="Times New Roman" w:hAnsi="Arial" w:cs="Arial"/>
          <w:color w:val="000000"/>
        </w:rPr>
        <w:t xml:space="preserve"> e la </w:t>
      </w:r>
      <w:r w:rsidRPr="00201E16">
        <w:rPr>
          <w:rFonts w:ascii="Arial" w:eastAsia="Times New Roman" w:hAnsi="Arial" w:cs="Arial"/>
          <w:b/>
          <w:bCs/>
          <w:color w:val="000000"/>
        </w:rPr>
        <w:t xml:space="preserve">riduzione dei costi </w:t>
      </w:r>
      <w:r w:rsidRPr="00201E16">
        <w:rPr>
          <w:rFonts w:ascii="Arial" w:eastAsia="Times New Roman" w:hAnsi="Arial" w:cs="Arial"/>
          <w:color w:val="000000"/>
        </w:rPr>
        <w:t>derivanti dalla gestione autonoma delle posizioni di tesoreria detenute dalle singole aziende.</w:t>
      </w:r>
    </w:p>
    <w:p w14:paraId="561955F9" w14:textId="77777777" w:rsidR="00201E16" w:rsidRPr="00201E16" w:rsidRDefault="00201E16" w:rsidP="00201E16">
      <w:pPr>
        <w:jc w:val="both"/>
        <w:rPr>
          <w:rFonts w:ascii="Arial" w:eastAsia="Times New Roman" w:hAnsi="Arial" w:cs="Arial"/>
          <w:color w:val="000000"/>
        </w:rPr>
      </w:pPr>
    </w:p>
    <w:p w14:paraId="217F0C60" w14:textId="77777777" w:rsidR="00201E16" w:rsidRPr="00201E16" w:rsidRDefault="00201E16" w:rsidP="00201E16">
      <w:pPr>
        <w:jc w:val="both"/>
        <w:rPr>
          <w:rFonts w:ascii="Arial" w:eastAsia="Times New Roman" w:hAnsi="Arial" w:cs="Arial"/>
          <w:color w:val="000000"/>
        </w:rPr>
      </w:pPr>
      <w:r w:rsidRPr="00201E16">
        <w:rPr>
          <w:rFonts w:ascii="Arial" w:eastAsia="Times New Roman" w:hAnsi="Arial" w:cs="Arial"/>
          <w:color w:val="000000"/>
        </w:rPr>
        <w:t xml:space="preserve">“Sebbene non vi siano dati puntuali sull’utilizzo dello strumento </w:t>
      </w:r>
      <w:r w:rsidRPr="00201E16">
        <w:rPr>
          <w:rFonts w:ascii="Arial" w:eastAsia="Times New Roman" w:hAnsi="Arial" w:cs="Arial"/>
        </w:rPr>
        <w:t>-</w:t>
      </w:r>
      <w:r w:rsidRPr="00201E16">
        <w:rPr>
          <w:rFonts w:ascii="Arial" w:eastAsia="Times New Roman" w:hAnsi="Arial" w:cs="Arial"/>
          <w:color w:val="000000"/>
        </w:rPr>
        <w:t xml:space="preserve"> è scritto nell’introduzione al documento -</w:t>
      </w:r>
      <w:r w:rsidRPr="00201E16">
        <w:rPr>
          <w:rFonts w:ascii="Arial" w:eastAsia="Times New Roman" w:hAnsi="Arial" w:cs="Arial"/>
        </w:rPr>
        <w:t>,</w:t>
      </w:r>
      <w:r w:rsidRPr="00201E16">
        <w:rPr>
          <w:rFonts w:ascii="Arial" w:eastAsia="Times New Roman" w:hAnsi="Arial" w:cs="Arial"/>
          <w:color w:val="000000"/>
        </w:rPr>
        <w:t xml:space="preserve"> il </w:t>
      </w:r>
      <w:r w:rsidRPr="00201E16">
        <w:rPr>
          <w:rFonts w:ascii="Arial" w:eastAsia="Times New Roman" w:hAnsi="Arial" w:cs="Arial"/>
          <w:i/>
          <w:iCs/>
          <w:color w:val="000000"/>
        </w:rPr>
        <w:t xml:space="preserve">cash pooling </w:t>
      </w:r>
      <w:r w:rsidRPr="00201E16">
        <w:rPr>
          <w:rFonts w:ascii="Arial" w:eastAsia="Times New Roman" w:hAnsi="Arial" w:cs="Arial"/>
          <w:color w:val="000000"/>
        </w:rPr>
        <w:t xml:space="preserve">parrebbe essere diventato un meccanismo per gestire le </w:t>
      </w:r>
      <w:r w:rsidRPr="00201E16">
        <w:rPr>
          <w:rFonts w:ascii="Arial" w:eastAsia="Times New Roman" w:hAnsi="Arial" w:cs="Arial"/>
          <w:b/>
          <w:bCs/>
          <w:color w:val="000000"/>
        </w:rPr>
        <w:t>eccedenze e i fabbisogni di liquidità</w:t>
      </w:r>
      <w:r w:rsidRPr="00201E16">
        <w:rPr>
          <w:rFonts w:ascii="Arial" w:eastAsia="Times New Roman" w:hAnsi="Arial" w:cs="Arial"/>
          <w:color w:val="000000"/>
        </w:rPr>
        <w:t xml:space="preserve"> delle società del gruppo, sempre più impiegato, soprattutto a seguito della crisi finanziaria del 2008, in un contesto caratterizzato da accesso limitato al mercato dei capitali, minore erogazione di credito da parte delle banche, bassi rendimenti e maggiori rischi sui depositi bancari. Tuttavia, l’attuazione del </w:t>
      </w:r>
      <w:r w:rsidRPr="00201E16">
        <w:rPr>
          <w:rFonts w:ascii="Arial" w:eastAsia="Times New Roman" w:hAnsi="Arial" w:cs="Arial"/>
          <w:i/>
          <w:iCs/>
          <w:color w:val="000000"/>
        </w:rPr>
        <w:t xml:space="preserve">cash pooling </w:t>
      </w:r>
      <w:r w:rsidRPr="00201E16">
        <w:rPr>
          <w:rFonts w:ascii="Arial" w:eastAsia="Times New Roman" w:hAnsi="Arial" w:cs="Arial"/>
          <w:color w:val="000000"/>
        </w:rPr>
        <w:t xml:space="preserve">comporta </w:t>
      </w:r>
      <w:r w:rsidRPr="00201E16">
        <w:rPr>
          <w:rFonts w:ascii="Arial" w:eastAsia="Times New Roman" w:hAnsi="Arial" w:cs="Arial"/>
          <w:b/>
          <w:bCs/>
          <w:color w:val="000000"/>
        </w:rPr>
        <w:t>rilevanti implicazioni</w:t>
      </w:r>
      <w:r w:rsidRPr="00201E16">
        <w:rPr>
          <w:rFonts w:ascii="Arial" w:eastAsia="Times New Roman" w:hAnsi="Arial" w:cs="Arial"/>
          <w:color w:val="000000"/>
        </w:rPr>
        <w:t xml:space="preserve"> non solo di tipo organizzativo e gestionale, ma anche con riferimento ai risvolti civilistici connessi (si pensi al contratto tra le imprese partecipanti), ai risvolti di tipo fiscale (relativamente al trattamento degli interessi attivi e passivi), agli aspetti contabili e di bilancio (in merito alla rappresentazione dell’operazione), così che l’operazione, nel suo complesso, richiede </w:t>
      </w:r>
      <w:r w:rsidRPr="00201E16">
        <w:rPr>
          <w:rFonts w:ascii="Arial" w:eastAsia="Times New Roman" w:hAnsi="Arial" w:cs="Arial"/>
          <w:b/>
          <w:bCs/>
          <w:color w:val="000000"/>
        </w:rPr>
        <w:t>attente valutazioni</w:t>
      </w:r>
      <w:r w:rsidRPr="00201E16">
        <w:rPr>
          <w:rFonts w:ascii="Arial" w:eastAsia="Times New Roman" w:hAnsi="Arial" w:cs="Arial"/>
          <w:color w:val="000000"/>
        </w:rPr>
        <w:t xml:space="preserve"> sotto ogni profilo da parte delle </w:t>
      </w:r>
      <w:r w:rsidRPr="00201E16">
        <w:rPr>
          <w:rFonts w:ascii="Arial" w:eastAsia="Times New Roman" w:hAnsi="Arial" w:cs="Arial"/>
          <w:b/>
          <w:bCs/>
          <w:color w:val="000000"/>
        </w:rPr>
        <w:t>imprese</w:t>
      </w:r>
      <w:r w:rsidRPr="00201E16">
        <w:rPr>
          <w:rFonts w:ascii="Arial" w:eastAsia="Times New Roman" w:hAnsi="Arial" w:cs="Arial"/>
          <w:color w:val="000000"/>
        </w:rPr>
        <w:t xml:space="preserve"> e dei </w:t>
      </w:r>
      <w:r w:rsidRPr="00201E16">
        <w:rPr>
          <w:rFonts w:ascii="Arial" w:eastAsia="Times New Roman" w:hAnsi="Arial" w:cs="Arial"/>
          <w:b/>
          <w:bCs/>
          <w:color w:val="000000"/>
        </w:rPr>
        <w:t>professionisti</w:t>
      </w:r>
      <w:r w:rsidRPr="00201E16">
        <w:rPr>
          <w:rFonts w:ascii="Arial" w:eastAsia="Times New Roman" w:hAnsi="Arial" w:cs="Arial"/>
          <w:color w:val="000000"/>
        </w:rPr>
        <w:t xml:space="preserve"> che le supportano nella definizione delle strategie”.</w:t>
      </w:r>
    </w:p>
    <w:p w14:paraId="0816B0C9" w14:textId="2D635A08" w:rsidR="00BF4DF9" w:rsidRPr="00201E16" w:rsidRDefault="00BF4DF9" w:rsidP="00201E16"/>
    <w:sectPr w:rsidR="00BF4DF9" w:rsidRPr="00201E1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8ED0F" w14:textId="77777777" w:rsidR="00103FD8" w:rsidRDefault="00103FD8" w:rsidP="00A57D38">
      <w:r>
        <w:separator/>
      </w:r>
    </w:p>
  </w:endnote>
  <w:endnote w:type="continuationSeparator" w:id="0">
    <w:p w14:paraId="5538C5D3" w14:textId="77777777" w:rsidR="00103FD8" w:rsidRDefault="00103FD8" w:rsidP="00A5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58670" w14:textId="77777777" w:rsidR="00103FD8" w:rsidRDefault="00103FD8" w:rsidP="00A57D38">
      <w:r>
        <w:separator/>
      </w:r>
    </w:p>
  </w:footnote>
  <w:footnote w:type="continuationSeparator" w:id="0">
    <w:p w14:paraId="6EFE2A0D" w14:textId="77777777" w:rsidR="00103FD8" w:rsidRDefault="00103FD8" w:rsidP="00A5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8E96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16C4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700048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CEB5142"/>
    <w:multiLevelType w:val="hybridMultilevel"/>
    <w:tmpl w:val="D1F08B4A"/>
    <w:lvl w:ilvl="0" w:tplc="633A46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898021">
    <w:abstractNumId w:val="1"/>
  </w:num>
  <w:num w:numId="2" w16cid:durableId="1667399407">
    <w:abstractNumId w:val="2"/>
  </w:num>
  <w:num w:numId="3" w16cid:durableId="1414277269">
    <w:abstractNumId w:val="0"/>
  </w:num>
  <w:num w:numId="4" w16cid:durableId="1241406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07B07"/>
    <w:rsid w:val="000130DF"/>
    <w:rsid w:val="000145FA"/>
    <w:rsid w:val="00030943"/>
    <w:rsid w:val="00047293"/>
    <w:rsid w:val="00062DEE"/>
    <w:rsid w:val="00073928"/>
    <w:rsid w:val="00075145"/>
    <w:rsid w:val="00092242"/>
    <w:rsid w:val="000B02CC"/>
    <w:rsid w:val="000D5879"/>
    <w:rsid w:val="000F7086"/>
    <w:rsid w:val="00103FD8"/>
    <w:rsid w:val="00135FBD"/>
    <w:rsid w:val="00167591"/>
    <w:rsid w:val="001B1AFB"/>
    <w:rsid w:val="001D50E7"/>
    <w:rsid w:val="00200236"/>
    <w:rsid w:val="00201E16"/>
    <w:rsid w:val="00227893"/>
    <w:rsid w:val="00234E76"/>
    <w:rsid w:val="0024138A"/>
    <w:rsid w:val="00260771"/>
    <w:rsid w:val="002B1079"/>
    <w:rsid w:val="002C2696"/>
    <w:rsid w:val="002D2FC2"/>
    <w:rsid w:val="002D511F"/>
    <w:rsid w:val="00300C69"/>
    <w:rsid w:val="00324F95"/>
    <w:rsid w:val="003507F7"/>
    <w:rsid w:val="0036260D"/>
    <w:rsid w:val="0036302D"/>
    <w:rsid w:val="003739DF"/>
    <w:rsid w:val="003A145F"/>
    <w:rsid w:val="003A4F3F"/>
    <w:rsid w:val="003B5D81"/>
    <w:rsid w:val="003B6B20"/>
    <w:rsid w:val="003C6E20"/>
    <w:rsid w:val="003D5628"/>
    <w:rsid w:val="003F5D99"/>
    <w:rsid w:val="00427331"/>
    <w:rsid w:val="004415FD"/>
    <w:rsid w:val="00496E32"/>
    <w:rsid w:val="004E25A1"/>
    <w:rsid w:val="004E2BA6"/>
    <w:rsid w:val="00501654"/>
    <w:rsid w:val="00522640"/>
    <w:rsid w:val="005315AC"/>
    <w:rsid w:val="00531B6F"/>
    <w:rsid w:val="005416BD"/>
    <w:rsid w:val="00543A7A"/>
    <w:rsid w:val="0054740C"/>
    <w:rsid w:val="0056307D"/>
    <w:rsid w:val="00565C97"/>
    <w:rsid w:val="00582545"/>
    <w:rsid w:val="005871E2"/>
    <w:rsid w:val="00592D37"/>
    <w:rsid w:val="005C0771"/>
    <w:rsid w:val="005F63FC"/>
    <w:rsid w:val="00600B5B"/>
    <w:rsid w:val="00607179"/>
    <w:rsid w:val="00677E20"/>
    <w:rsid w:val="006804D2"/>
    <w:rsid w:val="00686B26"/>
    <w:rsid w:val="00693880"/>
    <w:rsid w:val="006C2AEE"/>
    <w:rsid w:val="006E6033"/>
    <w:rsid w:val="006E72CE"/>
    <w:rsid w:val="00700600"/>
    <w:rsid w:val="00713B6B"/>
    <w:rsid w:val="00727620"/>
    <w:rsid w:val="00780E44"/>
    <w:rsid w:val="007E452B"/>
    <w:rsid w:val="007F7E51"/>
    <w:rsid w:val="00830EF3"/>
    <w:rsid w:val="008C1806"/>
    <w:rsid w:val="008C5196"/>
    <w:rsid w:val="008D32B2"/>
    <w:rsid w:val="00901225"/>
    <w:rsid w:val="00933F3A"/>
    <w:rsid w:val="009531F7"/>
    <w:rsid w:val="0095401E"/>
    <w:rsid w:val="00987E6C"/>
    <w:rsid w:val="009B2452"/>
    <w:rsid w:val="009B3602"/>
    <w:rsid w:val="009D18F4"/>
    <w:rsid w:val="009D30A8"/>
    <w:rsid w:val="00A1045D"/>
    <w:rsid w:val="00A10B36"/>
    <w:rsid w:val="00A1160C"/>
    <w:rsid w:val="00A2019D"/>
    <w:rsid w:val="00A474AF"/>
    <w:rsid w:val="00A57D38"/>
    <w:rsid w:val="00A60318"/>
    <w:rsid w:val="00A70B1B"/>
    <w:rsid w:val="00A97A5B"/>
    <w:rsid w:val="00B00A41"/>
    <w:rsid w:val="00B071DC"/>
    <w:rsid w:val="00B33601"/>
    <w:rsid w:val="00B33B6E"/>
    <w:rsid w:val="00B51AF3"/>
    <w:rsid w:val="00B55508"/>
    <w:rsid w:val="00BE4889"/>
    <w:rsid w:val="00BF1045"/>
    <w:rsid w:val="00BF4DF9"/>
    <w:rsid w:val="00BF587A"/>
    <w:rsid w:val="00C15377"/>
    <w:rsid w:val="00C33BF2"/>
    <w:rsid w:val="00C33EDC"/>
    <w:rsid w:val="00C61F00"/>
    <w:rsid w:val="00C7553E"/>
    <w:rsid w:val="00C84929"/>
    <w:rsid w:val="00C97980"/>
    <w:rsid w:val="00CA1E56"/>
    <w:rsid w:val="00CC633C"/>
    <w:rsid w:val="00CD3ED4"/>
    <w:rsid w:val="00CE4415"/>
    <w:rsid w:val="00D30A2A"/>
    <w:rsid w:val="00D37D06"/>
    <w:rsid w:val="00D44CF6"/>
    <w:rsid w:val="00D4602D"/>
    <w:rsid w:val="00D64EB4"/>
    <w:rsid w:val="00D76651"/>
    <w:rsid w:val="00D9002A"/>
    <w:rsid w:val="00DE44CE"/>
    <w:rsid w:val="00DE623C"/>
    <w:rsid w:val="00DF605A"/>
    <w:rsid w:val="00E14B67"/>
    <w:rsid w:val="00E160E1"/>
    <w:rsid w:val="00E24040"/>
    <w:rsid w:val="00E373BB"/>
    <w:rsid w:val="00E67397"/>
    <w:rsid w:val="00E7604E"/>
    <w:rsid w:val="00EA565A"/>
    <w:rsid w:val="00ED7DD3"/>
    <w:rsid w:val="00ED7FAF"/>
    <w:rsid w:val="00EE54BB"/>
    <w:rsid w:val="00EF56BE"/>
    <w:rsid w:val="00F04E17"/>
    <w:rsid w:val="00F1389A"/>
    <w:rsid w:val="00F27538"/>
    <w:rsid w:val="00F36B13"/>
    <w:rsid w:val="00F56290"/>
    <w:rsid w:val="00F60F8F"/>
    <w:rsid w:val="00F75D1F"/>
    <w:rsid w:val="00FB0AA0"/>
    <w:rsid w:val="00FD2166"/>
    <w:rsid w:val="00FD3A3D"/>
    <w:rsid w:val="00FE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docId w15:val="{4AFCF585-401B-418E-B24D-54C90340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1E16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B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B360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3602"/>
    <w:rPr>
      <w:color w:val="96607D" w:themeColor="followedHyperlink"/>
      <w:u w:val="single"/>
    </w:rPr>
  </w:style>
  <w:style w:type="paragraph" w:customStyle="1" w:styleId="Corpotesto1">
    <w:name w:val="Corpo testo1"/>
    <w:basedOn w:val="Normale"/>
    <w:rsid w:val="00135FBD"/>
    <w:pPr>
      <w:spacing w:line="360" w:lineRule="auto"/>
      <w:ind w:firstLine="284"/>
      <w:jc w:val="both"/>
    </w:pPr>
    <w:rPr>
      <w:rFonts w:ascii="Times New Roman" w:eastAsia="Times New Roman" w:hAnsi="Times New Roman" w:cs="Times New Roman"/>
      <w:kern w:val="19"/>
      <w:sz w:val="22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45FA"/>
    <w:rPr>
      <w:rFonts w:ascii="Tahoma" w:hAnsi="Tahoma" w:cs="Tahoma"/>
      <w:kern w:val="2"/>
      <w:sz w:val="16"/>
      <w:szCs w:val="16"/>
      <w:lang w:eastAsia="en-US"/>
      <w14:ligatures w14:val="standardContextual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45FA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4DF9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D30A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04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4502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C846C-0955-4507-B886-8A65DD1C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7</cp:revision>
  <cp:lastPrinted>2025-11-20T08:24:00Z</cp:lastPrinted>
  <dcterms:created xsi:type="dcterms:W3CDTF">2026-02-12T10:52:00Z</dcterms:created>
  <dcterms:modified xsi:type="dcterms:W3CDTF">2026-02-25T16:33:00Z</dcterms:modified>
</cp:coreProperties>
</file>