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Default="00135FBD" w:rsidP="00BF0368"/>
    <w:p w14:paraId="59294B53" w14:textId="77777777" w:rsidR="00BF0368" w:rsidRDefault="00BF0368" w:rsidP="00BF0368">
      <w:pPr>
        <w:jc w:val="center"/>
        <w:rPr>
          <w:rStyle w:val="elementtoproof"/>
          <w:rFonts w:ascii="Arial" w:eastAsia="Times New Roman" w:hAnsi="Arial" w:cs="Arial"/>
          <w:b/>
          <w:bCs/>
          <w:color w:val="000000"/>
          <w:u w:val="single"/>
        </w:rPr>
      </w:pPr>
      <w:r w:rsidRPr="008E6614">
        <w:rPr>
          <w:rStyle w:val="elementtoproof"/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5F1FAC94" w14:textId="77777777" w:rsidR="008E6614" w:rsidRPr="008E6614" w:rsidRDefault="008E6614" w:rsidP="00BF0368">
      <w:pPr>
        <w:jc w:val="center"/>
        <w:rPr>
          <w:rFonts w:ascii="Arial" w:eastAsia="Times New Roman" w:hAnsi="Arial" w:cs="Arial"/>
          <w:color w:val="000000"/>
        </w:rPr>
      </w:pPr>
    </w:p>
    <w:p w14:paraId="203B937C" w14:textId="77777777" w:rsidR="00BF0368" w:rsidRDefault="00BF0368" w:rsidP="00BF0368">
      <w:pPr>
        <w:jc w:val="center"/>
        <w:rPr>
          <w:rStyle w:val="elementtoproof"/>
          <w:rFonts w:ascii="Arial" w:eastAsia="Times New Roman" w:hAnsi="Arial" w:cs="Arial"/>
          <w:b/>
          <w:bCs/>
          <w:color w:val="000000"/>
        </w:rPr>
      </w:pP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>FOCUS DEI COMMERCIALISTI SUL RENDICONTO DEI TRUST FAMILIARI</w:t>
      </w:r>
    </w:p>
    <w:p w14:paraId="13D5140A" w14:textId="77777777" w:rsidR="008E6614" w:rsidRPr="008E6614" w:rsidRDefault="008E6614" w:rsidP="00BF0368">
      <w:pPr>
        <w:jc w:val="center"/>
        <w:rPr>
          <w:rFonts w:ascii="Arial" w:eastAsia="Times New Roman" w:hAnsi="Arial" w:cs="Arial"/>
          <w:color w:val="000000"/>
        </w:rPr>
      </w:pPr>
    </w:p>
    <w:p w14:paraId="2895B7D7" w14:textId="77777777" w:rsidR="00BF0368" w:rsidRDefault="00BF0368" w:rsidP="00BF0368">
      <w:pPr>
        <w:jc w:val="center"/>
        <w:rPr>
          <w:rStyle w:val="elementtoproof"/>
          <w:rFonts w:ascii="Arial" w:eastAsia="Times New Roman" w:hAnsi="Arial" w:cs="Arial"/>
          <w:b/>
          <w:bCs/>
          <w:color w:val="000000"/>
        </w:rPr>
      </w:pP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Il documento del Consiglio e della Fondazione nazionali della categoria punta a consolidare le prassi operative, garantendo la redazione di un rendiconto completo, accurato e comprensibile per il beneficiario medio, conforme al </w:t>
      </w:r>
      <w:r w:rsidRPr="008E6614">
        <w:rPr>
          <w:rStyle w:val="elementtoproof"/>
          <w:rFonts w:ascii="Arial" w:eastAsia="Times New Roman" w:hAnsi="Arial" w:cs="Arial"/>
          <w:b/>
          <w:bCs/>
          <w:i/>
          <w:iCs/>
          <w:color w:val="000000"/>
        </w:rPr>
        <w:t xml:space="preserve">duty to account 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>del trustee</w:t>
      </w:r>
    </w:p>
    <w:p w14:paraId="58D39F3B" w14:textId="77777777" w:rsidR="008E6614" w:rsidRPr="008E6614" w:rsidRDefault="008E6614" w:rsidP="00BF0368">
      <w:pPr>
        <w:jc w:val="center"/>
        <w:rPr>
          <w:rFonts w:ascii="Arial" w:eastAsia="Times New Roman" w:hAnsi="Arial" w:cs="Arial"/>
          <w:color w:val="000000"/>
        </w:rPr>
      </w:pPr>
    </w:p>
    <w:p w14:paraId="12BA8B00" w14:textId="77777777" w:rsidR="00BF0368" w:rsidRDefault="00BF0368" w:rsidP="00BF0368">
      <w:pPr>
        <w:jc w:val="both"/>
        <w:rPr>
          <w:rStyle w:val="elementtoproof"/>
          <w:rFonts w:ascii="Arial" w:eastAsia="Times New Roman" w:hAnsi="Arial" w:cs="Arial"/>
          <w:color w:val="000000"/>
        </w:rPr>
      </w:pPr>
      <w:r w:rsidRPr="008E6614">
        <w:rPr>
          <w:rStyle w:val="elementtoproof"/>
          <w:rFonts w:ascii="Arial" w:eastAsia="Times New Roman" w:hAnsi="Arial" w:cs="Arial"/>
          <w:i/>
          <w:iCs/>
          <w:color w:val="000000"/>
        </w:rPr>
        <w:t xml:space="preserve">Roma, 19 febbraio 2026 - </w:t>
      </w:r>
      <w:r w:rsidRPr="008E6614">
        <w:rPr>
          <w:rStyle w:val="elementtoproof"/>
          <w:rFonts w:ascii="Arial" w:eastAsia="Times New Roman" w:hAnsi="Arial" w:cs="Arial"/>
          <w:color w:val="000000"/>
        </w:rPr>
        <w:t>“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Il Rendiconto dei trust familiari” </w:t>
      </w:r>
      <w:r w:rsidRPr="008E6614">
        <w:rPr>
          <w:rStyle w:val="elementtoproof"/>
          <w:rFonts w:ascii="Arial" w:eastAsia="Times New Roman" w:hAnsi="Arial" w:cs="Arial"/>
          <w:color w:val="000000"/>
        </w:rPr>
        <w:t>è il titolo del documento pubblicato oggi dal Consiglio e della Fondazione Nazionale dei Commercialisti.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 </w:t>
      </w:r>
      <w:r w:rsidRPr="008E6614">
        <w:rPr>
          <w:rStyle w:val="elementtoproof"/>
          <w:rFonts w:ascii="Arial" w:eastAsia="Times New Roman" w:hAnsi="Arial" w:cs="Arial"/>
          <w:color w:val="000000"/>
        </w:rPr>
        <w:t> Lo studio illustra i criteri di redazione e rappresentazione del rendiconto da parte del trustee.</w:t>
      </w:r>
    </w:p>
    <w:p w14:paraId="47955E69" w14:textId="77777777" w:rsidR="008E6614" w:rsidRPr="008E6614" w:rsidRDefault="008E6614" w:rsidP="00BF0368">
      <w:pPr>
        <w:jc w:val="both"/>
        <w:rPr>
          <w:rFonts w:ascii="Arial" w:eastAsia="Times New Roman" w:hAnsi="Arial" w:cs="Arial"/>
          <w:color w:val="000000"/>
        </w:rPr>
      </w:pPr>
    </w:p>
    <w:p w14:paraId="197334F3" w14:textId="77777777" w:rsidR="00BF0368" w:rsidRDefault="00BF0368" w:rsidP="00BF0368">
      <w:pPr>
        <w:jc w:val="both"/>
        <w:rPr>
          <w:rStyle w:val="elementtoproof"/>
          <w:rFonts w:ascii="Arial" w:eastAsia="Times New Roman" w:hAnsi="Arial" w:cs="Arial"/>
          <w:color w:val="000000"/>
        </w:rPr>
      </w:pPr>
      <w:r w:rsidRPr="008E6614">
        <w:rPr>
          <w:rStyle w:val="elementtoproof"/>
          <w:rFonts w:ascii="Arial" w:eastAsia="Times New Roman" w:hAnsi="Arial" w:cs="Arial"/>
          <w:color w:val="000000"/>
        </w:rPr>
        <w:t xml:space="preserve">L’obbligo di rendiconto costituisce uno dei doveri fondamentali del trustee, assimilabile all’obbligo previsto dalla legge italiana per chi amministra beni di terzi. Tale dovere assicura 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>trasparenza</w:t>
      </w:r>
      <w:r w:rsidRPr="008E6614">
        <w:rPr>
          <w:rStyle w:val="elementtoproof"/>
          <w:rFonts w:ascii="Arial" w:eastAsia="Times New Roman" w:hAnsi="Arial" w:cs="Arial"/>
          <w:color w:val="000000"/>
        </w:rPr>
        <w:t xml:space="preserve">, 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responsabilità fiduciaria </w:t>
      </w:r>
      <w:r w:rsidRPr="008E6614">
        <w:rPr>
          <w:rStyle w:val="elementtoproof"/>
          <w:rFonts w:ascii="Arial" w:eastAsia="Times New Roman" w:hAnsi="Arial" w:cs="Arial"/>
          <w:color w:val="000000"/>
        </w:rPr>
        <w:t xml:space="preserve">e 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tutela </w:t>
      </w:r>
      <w:r w:rsidRPr="008E6614">
        <w:rPr>
          <w:rStyle w:val="elementtoproof"/>
          <w:rFonts w:ascii="Arial" w:eastAsia="Times New Roman" w:hAnsi="Arial" w:cs="Arial"/>
          <w:color w:val="000000"/>
        </w:rPr>
        <w:t>degli interessi dei beneficiari.</w:t>
      </w:r>
    </w:p>
    <w:p w14:paraId="4E3A5169" w14:textId="77777777" w:rsidR="008E6614" w:rsidRPr="008E6614" w:rsidRDefault="008E6614" w:rsidP="00BF0368">
      <w:pPr>
        <w:jc w:val="both"/>
        <w:rPr>
          <w:rFonts w:ascii="Arial" w:eastAsia="Times New Roman" w:hAnsi="Arial" w:cs="Arial"/>
          <w:color w:val="000000"/>
        </w:rPr>
      </w:pPr>
    </w:p>
    <w:p w14:paraId="73C31FB9" w14:textId="77777777" w:rsidR="00BF0368" w:rsidRDefault="00BF0368" w:rsidP="00BF0368">
      <w:pPr>
        <w:jc w:val="both"/>
        <w:rPr>
          <w:rStyle w:val="elementtoproof"/>
          <w:rFonts w:ascii="Arial" w:eastAsia="Times New Roman" w:hAnsi="Arial" w:cs="Arial"/>
          <w:color w:val="000000"/>
        </w:rPr>
      </w:pPr>
      <w:r w:rsidRPr="008E6614">
        <w:rPr>
          <w:rStyle w:val="elementtoproof"/>
          <w:rFonts w:ascii="Arial" w:eastAsia="Times New Roman" w:hAnsi="Arial" w:cs="Arial"/>
          <w:color w:val="000000"/>
        </w:rPr>
        <w:t>Riconoscendo che la prassi professionale distingue nettamente le finalità di rendicontazione in relazione alle diverse tipologie di trust, lo studio sceglie di concentrarsi su quello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> familiare</w:t>
      </w:r>
      <w:r w:rsidRPr="00393753">
        <w:rPr>
          <w:rStyle w:val="elementtoproof"/>
          <w:rFonts w:ascii="Arial" w:eastAsia="Times New Roman" w:hAnsi="Arial" w:cs="Arial"/>
          <w:color w:val="000000"/>
        </w:rPr>
        <w:t>,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 </w:t>
      </w:r>
      <w:r w:rsidRPr="008E6614">
        <w:rPr>
          <w:rStyle w:val="elementtoproof"/>
          <w:rFonts w:ascii="Arial" w:eastAsia="Times New Roman" w:hAnsi="Arial" w:cs="Arial"/>
          <w:color w:val="000000"/>
        </w:rPr>
        <w:t xml:space="preserve">intendendo ricomprendere in questo ambito anche i trust di pianificazione patrimoniale nell’ambito della famiglia, i trust per il passaggio generazionale e quelli in favore di soggetti deboli. La rendicontazione di un 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>trust familiare</w:t>
      </w:r>
      <w:r w:rsidRPr="008E6614">
        <w:rPr>
          <w:rStyle w:val="elementtoproof"/>
          <w:rFonts w:ascii="Arial" w:eastAsia="Times New Roman" w:hAnsi="Arial" w:cs="Arial"/>
          <w:color w:val="000000"/>
        </w:rPr>
        <w:t>, soprattutto se caratterizzato da una struttura complessa (ad esempio, con più sottofondi e posizioni beneficiarie distinte per capitale e reddito), presenta diverse problematiche, alle quali lo studio cerca di dare soluzione.</w:t>
      </w:r>
    </w:p>
    <w:p w14:paraId="1AF8D2D8" w14:textId="77777777" w:rsidR="008E6614" w:rsidRPr="008E6614" w:rsidRDefault="008E6614" w:rsidP="00BF0368">
      <w:pPr>
        <w:jc w:val="both"/>
        <w:rPr>
          <w:rFonts w:ascii="Arial" w:eastAsia="Times New Roman" w:hAnsi="Arial" w:cs="Arial"/>
          <w:color w:val="000000"/>
        </w:rPr>
      </w:pPr>
    </w:p>
    <w:p w14:paraId="68FB2EAB" w14:textId="77777777" w:rsidR="008E6614" w:rsidRDefault="00BF0368" w:rsidP="008E6614">
      <w:pPr>
        <w:jc w:val="both"/>
        <w:rPr>
          <w:rStyle w:val="elementtoproof"/>
          <w:rFonts w:ascii="Arial" w:eastAsia="Times New Roman" w:hAnsi="Arial" w:cs="Arial"/>
          <w:color w:val="000000"/>
        </w:rPr>
      </w:pPr>
      <w:r w:rsidRPr="008E6614">
        <w:rPr>
          <w:rStyle w:val="elementtoproof"/>
          <w:rFonts w:ascii="Arial" w:eastAsia="Times New Roman" w:hAnsi="Arial" w:cs="Arial"/>
          <w:color w:val="000000"/>
        </w:rPr>
        <w:t xml:space="preserve">Il documento è concepito come una 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guida operativa e professionale </w:t>
      </w:r>
      <w:r w:rsidRPr="008E6614">
        <w:rPr>
          <w:rStyle w:val="elementtoproof"/>
          <w:rFonts w:ascii="Arial" w:eastAsia="Times New Roman" w:hAnsi="Arial" w:cs="Arial"/>
          <w:color w:val="000000"/>
        </w:rPr>
        <w:t xml:space="preserve">destinata a chi è chiamato a predisporre il 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>rendiconto annuale di un trust familiare</w:t>
      </w:r>
      <w:r w:rsidRPr="008E6614">
        <w:rPr>
          <w:rStyle w:val="elementtoproof"/>
          <w:rFonts w:ascii="Arial" w:eastAsia="Times New Roman" w:hAnsi="Arial" w:cs="Arial"/>
          <w:color w:val="000000"/>
        </w:rPr>
        <w:t> e fornisce indicazioni su:</w:t>
      </w:r>
    </w:p>
    <w:p w14:paraId="729B9962" w14:textId="77777777" w:rsidR="008E6614" w:rsidRDefault="00BF0368" w:rsidP="008E6614">
      <w:pPr>
        <w:pStyle w:val="Paragrafoelenco"/>
        <w:numPr>
          <w:ilvl w:val="0"/>
          <w:numId w:val="6"/>
        </w:numPr>
        <w:jc w:val="both"/>
        <w:rPr>
          <w:rStyle w:val="elementtoproof"/>
          <w:rFonts w:ascii="Arial" w:eastAsia="Times New Roman" w:hAnsi="Arial" w:cs="Arial"/>
          <w:color w:val="000000"/>
        </w:rPr>
      </w:pP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il dovere e l’interesse alla rendicontazione </w:t>
      </w:r>
      <w:r w:rsidRPr="008E6614">
        <w:rPr>
          <w:rStyle w:val="elementtoproof"/>
          <w:rFonts w:ascii="Arial" w:eastAsia="Times New Roman" w:hAnsi="Arial" w:cs="Arial"/>
          <w:color w:val="000000"/>
        </w:rPr>
        <w:t>per i diversi soggetti coinvolti (trustee, beneficiari, guardiano, eventuali altri soggetti individuati nell’atto istitutivo);</w:t>
      </w:r>
    </w:p>
    <w:p w14:paraId="23742953" w14:textId="77777777" w:rsidR="008E6614" w:rsidRDefault="00BF0368" w:rsidP="008E6614">
      <w:pPr>
        <w:pStyle w:val="Paragrafoelenco"/>
        <w:numPr>
          <w:ilvl w:val="0"/>
          <w:numId w:val="6"/>
        </w:numPr>
        <w:jc w:val="both"/>
        <w:rPr>
          <w:rStyle w:val="elementtoproof"/>
          <w:rFonts w:ascii="Arial" w:eastAsia="Times New Roman" w:hAnsi="Arial" w:cs="Arial"/>
          <w:color w:val="000000"/>
        </w:rPr>
      </w:pP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struttura e contenuto del rendiconto </w:t>
      </w:r>
      <w:r w:rsidRPr="008E6614">
        <w:rPr>
          <w:rStyle w:val="elementtoproof"/>
          <w:rFonts w:ascii="Arial" w:eastAsia="Times New Roman" w:hAnsi="Arial" w:cs="Arial"/>
          <w:color w:val="000000"/>
        </w:rPr>
        <w:t>(Stato Patrimoniale, Conto Economico, Nota illustrativa), con attenzione all’applicazione dei principi di proporzionalità e di scalabilità (adattando il dettaglio alla complessità del trust);</w:t>
      </w:r>
    </w:p>
    <w:p w14:paraId="41393629" w14:textId="77777777" w:rsidR="008E6614" w:rsidRDefault="00BF0368" w:rsidP="00B8551D">
      <w:pPr>
        <w:pStyle w:val="Paragrafoelenco"/>
        <w:numPr>
          <w:ilvl w:val="0"/>
          <w:numId w:val="6"/>
        </w:numPr>
        <w:jc w:val="both"/>
        <w:rPr>
          <w:rStyle w:val="elementtoproof"/>
          <w:rFonts w:ascii="Arial" w:eastAsia="Times New Roman" w:hAnsi="Arial" w:cs="Arial"/>
          <w:color w:val="000000"/>
        </w:rPr>
      </w:pP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i criteri di valutazione </w:t>
      </w:r>
      <w:r w:rsidRPr="008E6614">
        <w:rPr>
          <w:rStyle w:val="elementtoproof"/>
          <w:rFonts w:ascii="Arial" w:eastAsia="Times New Roman" w:hAnsi="Arial" w:cs="Arial"/>
          <w:color w:val="000000"/>
        </w:rPr>
        <w:t xml:space="preserve">dei beni in trust nelle fasi di dotazione, gestione e cessazione, evidenziando il principio di 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 xml:space="preserve">continuità dei valori </w:t>
      </w:r>
      <w:r w:rsidRPr="008E6614">
        <w:rPr>
          <w:rStyle w:val="elementtoproof"/>
          <w:rFonts w:ascii="Arial" w:eastAsia="Times New Roman" w:hAnsi="Arial" w:cs="Arial"/>
          <w:color w:val="000000"/>
        </w:rPr>
        <w:t xml:space="preserve">e l’importante distinzione, a fini contabili e fiscali, tra 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>capitale e reddito</w:t>
      </w:r>
      <w:r w:rsidRPr="008E6614">
        <w:rPr>
          <w:rStyle w:val="elementtoproof"/>
          <w:rFonts w:ascii="Arial" w:eastAsia="Times New Roman" w:hAnsi="Arial" w:cs="Arial"/>
          <w:color w:val="000000"/>
        </w:rPr>
        <w:t>.</w:t>
      </w:r>
    </w:p>
    <w:p w14:paraId="16BD7BAA" w14:textId="36B7B8CC" w:rsidR="00BF0368" w:rsidRPr="008E6614" w:rsidRDefault="00BF0368" w:rsidP="008E6614">
      <w:pPr>
        <w:jc w:val="both"/>
        <w:rPr>
          <w:rFonts w:ascii="Arial" w:eastAsia="Times New Roman" w:hAnsi="Arial" w:cs="Arial"/>
          <w:color w:val="000000"/>
        </w:rPr>
      </w:pPr>
      <w:r w:rsidRPr="008E6614">
        <w:rPr>
          <w:rStyle w:val="elementtoproof"/>
          <w:rFonts w:ascii="Arial" w:eastAsia="Times New Roman" w:hAnsi="Arial" w:cs="Arial"/>
          <w:color w:val="000000"/>
        </w:rPr>
        <w:t xml:space="preserve">L’auspicio degli autori è che lo studio contribuisca a consolidare le prassi operative, garantendo la redazione di un rendiconto </w:t>
      </w:r>
      <w:r w:rsidRPr="008E6614">
        <w:rPr>
          <w:rStyle w:val="elementtoproof"/>
          <w:rFonts w:ascii="Arial" w:eastAsia="Times New Roman" w:hAnsi="Arial" w:cs="Arial"/>
          <w:b/>
          <w:bCs/>
          <w:color w:val="000000"/>
        </w:rPr>
        <w:t>completo, accurato e comprensibile per il beneficiario medio</w:t>
      </w:r>
      <w:r w:rsidRPr="008E6614">
        <w:rPr>
          <w:rStyle w:val="elementtoproof"/>
          <w:rFonts w:ascii="Arial" w:eastAsia="Times New Roman" w:hAnsi="Arial" w:cs="Arial"/>
          <w:color w:val="000000"/>
        </w:rPr>
        <w:t xml:space="preserve">, conforme al </w:t>
      </w:r>
      <w:r w:rsidRPr="008E6614">
        <w:rPr>
          <w:rStyle w:val="elementtoproof"/>
          <w:rFonts w:ascii="Arial" w:eastAsia="Times New Roman" w:hAnsi="Arial" w:cs="Arial"/>
          <w:i/>
          <w:iCs/>
          <w:color w:val="000000"/>
        </w:rPr>
        <w:t xml:space="preserve">duty to account </w:t>
      </w:r>
      <w:r w:rsidRPr="008E6614">
        <w:rPr>
          <w:rStyle w:val="elementtoproof"/>
          <w:rFonts w:ascii="Arial" w:eastAsia="Times New Roman" w:hAnsi="Arial" w:cs="Arial"/>
          <w:color w:val="000000"/>
        </w:rPr>
        <w:t>del trustee.</w:t>
      </w:r>
    </w:p>
    <w:p w14:paraId="5D89C541" w14:textId="77777777" w:rsidR="00BF0368" w:rsidRPr="008E6614" w:rsidRDefault="00BF0368" w:rsidP="00BF0368">
      <w:pPr>
        <w:rPr>
          <w:rFonts w:ascii="Arial" w:hAnsi="Arial" w:cs="Arial"/>
        </w:rPr>
      </w:pPr>
    </w:p>
    <w:sectPr w:rsidR="00BF0368" w:rsidRPr="008E661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3971" w14:textId="77777777" w:rsidR="00DD4394" w:rsidRDefault="00DD4394" w:rsidP="00A57D38">
      <w:r>
        <w:separator/>
      </w:r>
    </w:p>
  </w:endnote>
  <w:endnote w:type="continuationSeparator" w:id="0">
    <w:p w14:paraId="7836EE61" w14:textId="77777777" w:rsidR="00DD4394" w:rsidRDefault="00DD4394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3B85" w14:textId="77777777" w:rsidR="00DD4394" w:rsidRDefault="00DD4394" w:rsidP="00A57D38">
      <w:r>
        <w:separator/>
      </w:r>
    </w:p>
  </w:footnote>
  <w:footnote w:type="continuationSeparator" w:id="0">
    <w:p w14:paraId="3A0C2D9B" w14:textId="77777777" w:rsidR="00DD4394" w:rsidRDefault="00DD4394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3A366E"/>
    <w:multiLevelType w:val="hybridMultilevel"/>
    <w:tmpl w:val="1626322E"/>
    <w:lvl w:ilvl="0" w:tplc="62B8BA48">
      <w:numFmt w:val="bullet"/>
      <w:lvlText w:val="•"/>
      <w:lvlJc w:val="left"/>
      <w:pPr>
        <w:ind w:left="710" w:hanging="71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CEB5142"/>
    <w:multiLevelType w:val="hybridMultilevel"/>
    <w:tmpl w:val="D1F08B4A"/>
    <w:lvl w:ilvl="0" w:tplc="633A4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E4716"/>
    <w:multiLevelType w:val="hybridMultilevel"/>
    <w:tmpl w:val="A5D46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98021">
    <w:abstractNumId w:val="1"/>
  </w:num>
  <w:num w:numId="2" w16cid:durableId="1667399407">
    <w:abstractNumId w:val="3"/>
  </w:num>
  <w:num w:numId="3" w16cid:durableId="1414277269">
    <w:abstractNumId w:val="0"/>
  </w:num>
  <w:num w:numId="4" w16cid:durableId="1241406788">
    <w:abstractNumId w:val="4"/>
  </w:num>
  <w:num w:numId="5" w16cid:durableId="1070616195">
    <w:abstractNumId w:val="2"/>
  </w:num>
  <w:num w:numId="6" w16cid:durableId="2025786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145FA"/>
    <w:rsid w:val="00030943"/>
    <w:rsid w:val="00047293"/>
    <w:rsid w:val="00062DEE"/>
    <w:rsid w:val="00073928"/>
    <w:rsid w:val="00075145"/>
    <w:rsid w:val="00092242"/>
    <w:rsid w:val="0009231C"/>
    <w:rsid w:val="000B02CC"/>
    <w:rsid w:val="000D5879"/>
    <w:rsid w:val="000F7086"/>
    <w:rsid w:val="00135FBD"/>
    <w:rsid w:val="001B1AFB"/>
    <w:rsid w:val="001C1AD6"/>
    <w:rsid w:val="001C35F9"/>
    <w:rsid w:val="001D50E7"/>
    <w:rsid w:val="00200236"/>
    <w:rsid w:val="00227893"/>
    <w:rsid w:val="00234E76"/>
    <w:rsid w:val="0024138A"/>
    <w:rsid w:val="00260771"/>
    <w:rsid w:val="002B1079"/>
    <w:rsid w:val="002C2696"/>
    <w:rsid w:val="002D2FC2"/>
    <w:rsid w:val="002D511F"/>
    <w:rsid w:val="00300C69"/>
    <w:rsid w:val="00326C78"/>
    <w:rsid w:val="003507F7"/>
    <w:rsid w:val="0036260D"/>
    <w:rsid w:val="0036302D"/>
    <w:rsid w:val="00363683"/>
    <w:rsid w:val="003739DF"/>
    <w:rsid w:val="00393753"/>
    <w:rsid w:val="003A4F3F"/>
    <w:rsid w:val="003B5D81"/>
    <w:rsid w:val="003B6B20"/>
    <w:rsid w:val="003C6E20"/>
    <w:rsid w:val="003D5628"/>
    <w:rsid w:val="003F23D6"/>
    <w:rsid w:val="003F5D99"/>
    <w:rsid w:val="004055D0"/>
    <w:rsid w:val="00427331"/>
    <w:rsid w:val="004415FD"/>
    <w:rsid w:val="00496E32"/>
    <w:rsid w:val="004E25A1"/>
    <w:rsid w:val="004E2BA6"/>
    <w:rsid w:val="00501654"/>
    <w:rsid w:val="00515F1F"/>
    <w:rsid w:val="00522640"/>
    <w:rsid w:val="005315AC"/>
    <w:rsid w:val="005416BD"/>
    <w:rsid w:val="00543A7A"/>
    <w:rsid w:val="0056307D"/>
    <w:rsid w:val="00565C97"/>
    <w:rsid w:val="00582545"/>
    <w:rsid w:val="00592D37"/>
    <w:rsid w:val="005C0771"/>
    <w:rsid w:val="005F63FC"/>
    <w:rsid w:val="00600B5B"/>
    <w:rsid w:val="00607179"/>
    <w:rsid w:val="00677E20"/>
    <w:rsid w:val="006804D2"/>
    <w:rsid w:val="006C2AEE"/>
    <w:rsid w:val="006E6033"/>
    <w:rsid w:val="006E72CE"/>
    <w:rsid w:val="00700600"/>
    <w:rsid w:val="00713B6B"/>
    <w:rsid w:val="00727620"/>
    <w:rsid w:val="00780E44"/>
    <w:rsid w:val="007E452B"/>
    <w:rsid w:val="00830EF3"/>
    <w:rsid w:val="008A544B"/>
    <w:rsid w:val="008C1806"/>
    <w:rsid w:val="008C5196"/>
    <w:rsid w:val="008D3D99"/>
    <w:rsid w:val="008E6614"/>
    <w:rsid w:val="00901225"/>
    <w:rsid w:val="00933F3A"/>
    <w:rsid w:val="00951072"/>
    <w:rsid w:val="009531F7"/>
    <w:rsid w:val="0095401E"/>
    <w:rsid w:val="009742A0"/>
    <w:rsid w:val="00987E6C"/>
    <w:rsid w:val="009B2452"/>
    <w:rsid w:val="009B3602"/>
    <w:rsid w:val="009D18F4"/>
    <w:rsid w:val="009D30A8"/>
    <w:rsid w:val="009F3827"/>
    <w:rsid w:val="00A1045D"/>
    <w:rsid w:val="00A1160C"/>
    <w:rsid w:val="00A2019D"/>
    <w:rsid w:val="00A474AF"/>
    <w:rsid w:val="00A57D38"/>
    <w:rsid w:val="00A70B1B"/>
    <w:rsid w:val="00AA4123"/>
    <w:rsid w:val="00B00A41"/>
    <w:rsid w:val="00B071DC"/>
    <w:rsid w:val="00B1724A"/>
    <w:rsid w:val="00B33601"/>
    <w:rsid w:val="00B33B6E"/>
    <w:rsid w:val="00B51AF3"/>
    <w:rsid w:val="00B55508"/>
    <w:rsid w:val="00B83EED"/>
    <w:rsid w:val="00BE4889"/>
    <w:rsid w:val="00BF0368"/>
    <w:rsid w:val="00BF1045"/>
    <w:rsid w:val="00BF587A"/>
    <w:rsid w:val="00C33BF2"/>
    <w:rsid w:val="00C33EDC"/>
    <w:rsid w:val="00C61F00"/>
    <w:rsid w:val="00C7553E"/>
    <w:rsid w:val="00C97980"/>
    <w:rsid w:val="00CA1E56"/>
    <w:rsid w:val="00CC633C"/>
    <w:rsid w:val="00CE4415"/>
    <w:rsid w:val="00D37D06"/>
    <w:rsid w:val="00D44CF6"/>
    <w:rsid w:val="00D4602D"/>
    <w:rsid w:val="00D64EB4"/>
    <w:rsid w:val="00D76651"/>
    <w:rsid w:val="00D9002A"/>
    <w:rsid w:val="00DD4394"/>
    <w:rsid w:val="00DE44CE"/>
    <w:rsid w:val="00DE623C"/>
    <w:rsid w:val="00DF605A"/>
    <w:rsid w:val="00E14B67"/>
    <w:rsid w:val="00E160E1"/>
    <w:rsid w:val="00E24040"/>
    <w:rsid w:val="00E373BB"/>
    <w:rsid w:val="00E523DF"/>
    <w:rsid w:val="00E6568D"/>
    <w:rsid w:val="00E67397"/>
    <w:rsid w:val="00E7604E"/>
    <w:rsid w:val="00EA565A"/>
    <w:rsid w:val="00ED7DD3"/>
    <w:rsid w:val="00ED7FAF"/>
    <w:rsid w:val="00EE54BB"/>
    <w:rsid w:val="00EF56BE"/>
    <w:rsid w:val="00F1389A"/>
    <w:rsid w:val="00F27538"/>
    <w:rsid w:val="00F30CF7"/>
    <w:rsid w:val="00F3386C"/>
    <w:rsid w:val="00F36B13"/>
    <w:rsid w:val="00F56290"/>
    <w:rsid w:val="00F60F8F"/>
    <w:rsid w:val="00F70079"/>
    <w:rsid w:val="00F75D1F"/>
    <w:rsid w:val="00F948F3"/>
    <w:rsid w:val="00FB0AA0"/>
    <w:rsid w:val="00FD3A3D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docId w15:val="{4AFCF585-401B-418E-B24D-54C90340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079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5FA"/>
    <w:rPr>
      <w:rFonts w:ascii="Tahoma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5F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1072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51072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"/>
    <w:uiPriority w:val="99"/>
    <w:unhideWhenUsed/>
    <w:rsid w:val="00951072"/>
    <w:rPr>
      <w:vertAlign w:val="superscript"/>
    </w:rPr>
  </w:style>
  <w:style w:type="character" w:customStyle="1" w:styleId="elementtoproof">
    <w:name w:val="elementtoproof"/>
    <w:basedOn w:val="Carpredefinitoparagrafo"/>
    <w:rsid w:val="00F7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846C-0955-4507-B886-8A65DD1C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20</cp:revision>
  <cp:lastPrinted>2025-11-20T08:24:00Z</cp:lastPrinted>
  <dcterms:created xsi:type="dcterms:W3CDTF">2026-02-05T10:07:00Z</dcterms:created>
  <dcterms:modified xsi:type="dcterms:W3CDTF">2026-02-19T11:55:00Z</dcterms:modified>
</cp:coreProperties>
</file>