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C445" w14:textId="77777777" w:rsidR="00135FBD" w:rsidRPr="00565C97" w:rsidRDefault="00135FBD" w:rsidP="00565C97">
      <w:pPr>
        <w:pStyle w:val="atext"/>
        <w:shd w:val="clear" w:color="auto" w:fill="FFFFFF"/>
        <w:spacing w:before="0" w:beforeAutospacing="0" w:after="0" w:afterAutospacing="0"/>
        <w:jc w:val="center"/>
        <w:rPr>
          <w:rFonts w:ascii="Arial" w:hAnsi="Arial" w:cs="Arial"/>
          <w:b/>
          <w:bCs/>
          <w:u w:val="single"/>
        </w:rPr>
      </w:pPr>
    </w:p>
    <w:p w14:paraId="4E89A802" w14:textId="77777777" w:rsidR="00F70079" w:rsidRDefault="00F70079" w:rsidP="00F70079">
      <w:pPr>
        <w:jc w:val="center"/>
        <w:rPr>
          <w:rStyle w:val="elementtoproof"/>
          <w:rFonts w:ascii="Arial" w:hAnsi="Arial" w:cs="Arial"/>
          <w:b/>
          <w:bCs/>
          <w:sz w:val="23"/>
          <w:szCs w:val="23"/>
          <w:u w:val="single"/>
        </w:rPr>
      </w:pPr>
      <w:r w:rsidRPr="00515F1F">
        <w:rPr>
          <w:rStyle w:val="elementtoproof"/>
          <w:rFonts w:ascii="Arial" w:hAnsi="Arial" w:cs="Arial"/>
          <w:b/>
          <w:bCs/>
          <w:color w:val="000000"/>
          <w:sz w:val="23"/>
          <w:szCs w:val="23"/>
          <w:u w:val="single"/>
        </w:rPr>
        <w:t>C</w:t>
      </w:r>
      <w:r w:rsidRPr="00515F1F">
        <w:rPr>
          <w:rStyle w:val="elementtoproof"/>
          <w:rFonts w:ascii="Arial" w:hAnsi="Arial" w:cs="Arial"/>
          <w:b/>
          <w:bCs/>
          <w:sz w:val="23"/>
          <w:szCs w:val="23"/>
          <w:u w:val="single"/>
        </w:rPr>
        <w:t>omunicato stampa</w:t>
      </w:r>
    </w:p>
    <w:p w14:paraId="5C288830" w14:textId="77777777" w:rsidR="00515F1F" w:rsidRPr="00515F1F" w:rsidRDefault="00515F1F" w:rsidP="00F70079">
      <w:pPr>
        <w:jc w:val="center"/>
        <w:rPr>
          <w:rFonts w:ascii="Arial" w:hAnsi="Arial" w:cs="Arial"/>
          <w:color w:val="000000"/>
          <w:sz w:val="23"/>
          <w:szCs w:val="23"/>
          <w:u w:val="single"/>
        </w:rPr>
      </w:pPr>
    </w:p>
    <w:p w14:paraId="11FF3A68" w14:textId="77777777" w:rsidR="00F70079" w:rsidRDefault="00F70079" w:rsidP="00F70079">
      <w:pPr>
        <w:jc w:val="center"/>
        <w:rPr>
          <w:rStyle w:val="elementtoproof"/>
          <w:rFonts w:ascii="Arial" w:hAnsi="Arial" w:cs="Arial"/>
          <w:b/>
          <w:bCs/>
          <w:color w:val="000000"/>
          <w:sz w:val="23"/>
          <w:szCs w:val="23"/>
        </w:rPr>
      </w:pPr>
      <w:r w:rsidRPr="00515F1F">
        <w:rPr>
          <w:rStyle w:val="elementtoproof"/>
          <w:rFonts w:ascii="Arial" w:hAnsi="Arial" w:cs="Arial"/>
          <w:b/>
          <w:bCs/>
          <w:color w:val="000000"/>
          <w:sz w:val="23"/>
          <w:szCs w:val="23"/>
        </w:rPr>
        <w:t>TERZO SETTORE, DAI COMMERCIALISTI LE NUOVE NORME PER L’ORGANO DI CONTROLLO</w:t>
      </w:r>
    </w:p>
    <w:p w14:paraId="2F94AA6B" w14:textId="77777777" w:rsidR="00515F1F" w:rsidRPr="00515F1F" w:rsidRDefault="00515F1F" w:rsidP="00F70079">
      <w:pPr>
        <w:jc w:val="center"/>
        <w:rPr>
          <w:rFonts w:ascii="Arial" w:hAnsi="Arial" w:cs="Arial"/>
          <w:color w:val="000000"/>
          <w:sz w:val="23"/>
          <w:szCs w:val="23"/>
        </w:rPr>
      </w:pPr>
    </w:p>
    <w:p w14:paraId="07706DEB" w14:textId="77777777" w:rsidR="00F70079" w:rsidRDefault="00F70079" w:rsidP="00F70079">
      <w:pPr>
        <w:jc w:val="center"/>
        <w:rPr>
          <w:rStyle w:val="elementtoproof"/>
          <w:rFonts w:ascii="Arial" w:hAnsi="Arial" w:cs="Arial"/>
          <w:b/>
          <w:bCs/>
          <w:color w:val="000000"/>
          <w:sz w:val="23"/>
          <w:szCs w:val="23"/>
        </w:rPr>
      </w:pPr>
      <w:r w:rsidRPr="00515F1F">
        <w:rPr>
          <w:rStyle w:val="elementtoproof"/>
          <w:rFonts w:ascii="Arial" w:hAnsi="Arial" w:cs="Arial"/>
          <w:b/>
          <w:bCs/>
          <w:color w:val="000000"/>
          <w:sz w:val="23"/>
          <w:szCs w:val="23"/>
        </w:rPr>
        <w:t xml:space="preserve">Il documento pubblicato oggi dal Consiglio </w:t>
      </w:r>
      <w:r w:rsidRPr="00515F1F">
        <w:rPr>
          <w:rStyle w:val="elementtoproof"/>
          <w:rFonts w:ascii="Arial" w:hAnsi="Arial" w:cs="Arial"/>
          <w:b/>
          <w:bCs/>
          <w:sz w:val="23"/>
          <w:szCs w:val="23"/>
        </w:rPr>
        <w:t>N</w:t>
      </w:r>
      <w:r w:rsidRPr="00515F1F">
        <w:rPr>
          <w:rStyle w:val="elementtoproof"/>
          <w:rFonts w:ascii="Arial" w:hAnsi="Arial" w:cs="Arial"/>
          <w:b/>
          <w:bCs/>
          <w:color w:val="000000"/>
          <w:sz w:val="23"/>
          <w:szCs w:val="23"/>
        </w:rPr>
        <w:t>azionale della categoria aggiorna il precedente del 2020</w:t>
      </w:r>
    </w:p>
    <w:p w14:paraId="2E123275" w14:textId="77777777" w:rsidR="00515F1F" w:rsidRPr="00515F1F" w:rsidRDefault="00515F1F" w:rsidP="00F70079">
      <w:pPr>
        <w:jc w:val="center"/>
        <w:rPr>
          <w:rFonts w:ascii="Arial" w:hAnsi="Arial" w:cs="Arial"/>
          <w:color w:val="000000"/>
          <w:sz w:val="23"/>
          <w:szCs w:val="23"/>
        </w:rPr>
      </w:pPr>
    </w:p>
    <w:p w14:paraId="7F358471" w14:textId="77777777" w:rsidR="00F70079" w:rsidRDefault="00F70079" w:rsidP="00F70079">
      <w:pPr>
        <w:jc w:val="both"/>
        <w:rPr>
          <w:rStyle w:val="elementtoproof"/>
          <w:rFonts w:ascii="Arial" w:hAnsi="Arial" w:cs="Arial"/>
          <w:color w:val="000000"/>
          <w:sz w:val="23"/>
          <w:szCs w:val="23"/>
        </w:rPr>
      </w:pPr>
      <w:r w:rsidRPr="00515F1F">
        <w:rPr>
          <w:rStyle w:val="elementtoproof"/>
          <w:rFonts w:ascii="Arial" w:hAnsi="Arial" w:cs="Arial"/>
          <w:i/>
          <w:iCs/>
          <w:color w:val="000000"/>
          <w:sz w:val="23"/>
          <w:szCs w:val="23"/>
        </w:rPr>
        <w:t>Roma, 18 febbraio 2026 -</w:t>
      </w:r>
      <w:r w:rsidRPr="00515F1F">
        <w:rPr>
          <w:rStyle w:val="elementtoproof"/>
          <w:rFonts w:ascii="Arial" w:hAnsi="Arial" w:cs="Arial"/>
          <w:color w:val="000000"/>
          <w:sz w:val="23"/>
          <w:szCs w:val="23"/>
        </w:rPr>
        <w:t xml:space="preserve"> Il Consiglio </w:t>
      </w:r>
      <w:r w:rsidRPr="00515F1F">
        <w:rPr>
          <w:rStyle w:val="elementtoproof"/>
          <w:rFonts w:ascii="Arial" w:hAnsi="Arial" w:cs="Arial"/>
          <w:sz w:val="23"/>
          <w:szCs w:val="23"/>
        </w:rPr>
        <w:t>N</w:t>
      </w:r>
      <w:r w:rsidRPr="00515F1F">
        <w:rPr>
          <w:rStyle w:val="elementtoproof"/>
          <w:rFonts w:ascii="Arial" w:hAnsi="Arial" w:cs="Arial"/>
          <w:color w:val="000000"/>
          <w:sz w:val="23"/>
          <w:szCs w:val="23"/>
        </w:rPr>
        <w:t xml:space="preserve">azionale dei </w:t>
      </w:r>
      <w:r w:rsidRPr="00515F1F">
        <w:rPr>
          <w:rStyle w:val="elementtoproof"/>
          <w:rFonts w:ascii="Arial" w:hAnsi="Arial" w:cs="Arial"/>
          <w:sz w:val="23"/>
          <w:szCs w:val="23"/>
        </w:rPr>
        <w:t>C</w:t>
      </w:r>
      <w:r w:rsidRPr="00515F1F">
        <w:rPr>
          <w:rStyle w:val="elementtoproof"/>
          <w:rFonts w:ascii="Arial" w:hAnsi="Arial" w:cs="Arial"/>
          <w:color w:val="000000"/>
          <w:sz w:val="23"/>
          <w:szCs w:val="23"/>
        </w:rPr>
        <w:t>ommercialisti ha pubblicato</w:t>
      </w:r>
      <w:r w:rsidRPr="00515F1F">
        <w:rPr>
          <w:rStyle w:val="elementtoproof"/>
          <w:rFonts w:ascii="Arial" w:hAnsi="Arial" w:cs="Arial"/>
          <w:sz w:val="23"/>
          <w:szCs w:val="23"/>
        </w:rPr>
        <w:t>,</w:t>
      </w:r>
      <w:r w:rsidRPr="00515F1F">
        <w:rPr>
          <w:rStyle w:val="elementtoproof"/>
          <w:rFonts w:ascii="Arial" w:hAnsi="Arial" w:cs="Arial"/>
          <w:color w:val="000000"/>
          <w:sz w:val="23"/>
          <w:szCs w:val="23"/>
        </w:rPr>
        <w:t xml:space="preserve"> nella </w:t>
      </w:r>
      <w:r w:rsidRPr="00515F1F">
        <w:rPr>
          <w:rStyle w:val="elementtoproof"/>
          <w:rFonts w:ascii="Arial" w:hAnsi="Arial" w:cs="Arial"/>
          <w:sz w:val="23"/>
          <w:szCs w:val="23"/>
        </w:rPr>
        <w:t>loro</w:t>
      </w:r>
      <w:r w:rsidRPr="00515F1F">
        <w:rPr>
          <w:rStyle w:val="elementtoproof"/>
          <w:rFonts w:ascii="Arial" w:hAnsi="Arial" w:cs="Arial"/>
          <w:color w:val="000000"/>
          <w:sz w:val="23"/>
          <w:szCs w:val="23"/>
        </w:rPr>
        <w:t xml:space="preserve"> versione definitiva</w:t>
      </w:r>
      <w:r w:rsidRPr="00515F1F">
        <w:rPr>
          <w:rStyle w:val="elementtoproof"/>
          <w:rFonts w:ascii="Arial" w:hAnsi="Arial" w:cs="Arial"/>
          <w:sz w:val="23"/>
          <w:szCs w:val="23"/>
        </w:rPr>
        <w:t>,</w:t>
      </w:r>
      <w:r w:rsidRPr="00515F1F">
        <w:rPr>
          <w:rStyle w:val="elementtoproof"/>
          <w:rFonts w:ascii="Arial" w:hAnsi="Arial" w:cs="Arial"/>
          <w:color w:val="000000"/>
          <w:sz w:val="23"/>
          <w:szCs w:val="23"/>
        </w:rPr>
        <w:t xml:space="preserve"> le nuove </w:t>
      </w:r>
      <w:r w:rsidRPr="00515F1F">
        <w:rPr>
          <w:rStyle w:val="elementtoproof"/>
          <w:rFonts w:ascii="Arial" w:hAnsi="Arial" w:cs="Arial"/>
          <w:b/>
          <w:bCs/>
          <w:i/>
          <w:iCs/>
          <w:color w:val="000000"/>
          <w:sz w:val="23"/>
          <w:szCs w:val="23"/>
        </w:rPr>
        <w:t>Norme di comportamento degli organi di controllo degli enti del Terzo settore</w:t>
      </w:r>
      <w:r w:rsidRPr="00515F1F">
        <w:rPr>
          <w:rStyle w:val="elementtoproof"/>
          <w:rFonts w:ascii="Arial" w:hAnsi="Arial" w:cs="Arial"/>
          <w:color w:val="000000"/>
          <w:sz w:val="23"/>
          <w:szCs w:val="23"/>
        </w:rPr>
        <w:t xml:space="preserve">, che rivedono ed aggiornano il testo pubblicato nel </w:t>
      </w:r>
      <w:r w:rsidRPr="00515F1F">
        <w:rPr>
          <w:rStyle w:val="elementtoproof"/>
          <w:rFonts w:ascii="Arial" w:hAnsi="Arial" w:cs="Arial"/>
          <w:b/>
          <w:bCs/>
          <w:color w:val="000000"/>
          <w:sz w:val="23"/>
          <w:szCs w:val="23"/>
        </w:rPr>
        <w:t>dicembre 2020</w:t>
      </w:r>
      <w:r w:rsidRPr="00515F1F">
        <w:rPr>
          <w:rStyle w:val="elementtoproof"/>
          <w:rFonts w:ascii="Arial" w:hAnsi="Arial" w:cs="Arial"/>
          <w:color w:val="000000"/>
          <w:sz w:val="23"/>
          <w:szCs w:val="23"/>
        </w:rPr>
        <w:t xml:space="preserve">. Le disposizioni concorrono a definire le </w:t>
      </w:r>
      <w:r w:rsidRPr="00515F1F">
        <w:rPr>
          <w:rStyle w:val="elementtoproof"/>
          <w:rFonts w:ascii="Arial" w:hAnsi="Arial" w:cs="Arial"/>
          <w:b/>
          <w:bCs/>
          <w:i/>
          <w:iCs/>
          <w:color w:val="000000"/>
          <w:sz w:val="23"/>
          <w:szCs w:val="23"/>
        </w:rPr>
        <w:t>best practice</w:t>
      </w:r>
      <w:r w:rsidRPr="00515F1F">
        <w:rPr>
          <w:rStyle w:val="elementtoproof"/>
          <w:rFonts w:ascii="Arial" w:hAnsi="Arial" w:cs="Arial"/>
          <w:color w:val="000000"/>
          <w:sz w:val="23"/>
          <w:szCs w:val="23"/>
        </w:rPr>
        <w:t xml:space="preserve"> che il Consiglio </w:t>
      </w:r>
      <w:r w:rsidRPr="00515F1F">
        <w:rPr>
          <w:rStyle w:val="elementtoproof"/>
          <w:rFonts w:ascii="Arial" w:hAnsi="Arial" w:cs="Arial"/>
          <w:sz w:val="23"/>
          <w:szCs w:val="23"/>
        </w:rPr>
        <w:t>N</w:t>
      </w:r>
      <w:r w:rsidRPr="00515F1F">
        <w:rPr>
          <w:rStyle w:val="elementtoproof"/>
          <w:rFonts w:ascii="Arial" w:hAnsi="Arial" w:cs="Arial"/>
          <w:color w:val="000000"/>
          <w:sz w:val="23"/>
          <w:szCs w:val="23"/>
        </w:rPr>
        <w:t xml:space="preserve">azionale fornisce ai propri iscritti affinché possano svolgere il proprio incarico in maniera tale da poter </w:t>
      </w:r>
      <w:r w:rsidRPr="00515F1F">
        <w:rPr>
          <w:rStyle w:val="elementtoproof"/>
          <w:rFonts w:ascii="Arial" w:hAnsi="Arial" w:cs="Arial"/>
          <w:b/>
          <w:bCs/>
          <w:color w:val="000000"/>
          <w:sz w:val="23"/>
          <w:szCs w:val="23"/>
        </w:rPr>
        <w:t>tutelare</w:t>
      </w:r>
      <w:r w:rsidRPr="00515F1F">
        <w:rPr>
          <w:rStyle w:val="elementtoproof"/>
          <w:rFonts w:ascii="Arial" w:hAnsi="Arial" w:cs="Arial"/>
          <w:color w:val="000000"/>
          <w:sz w:val="23"/>
          <w:szCs w:val="23"/>
        </w:rPr>
        <w:t xml:space="preserve"> tutti i soggetti interessati. In questa prospettiva, le norme configurano </w:t>
      </w:r>
      <w:r w:rsidRPr="00515F1F">
        <w:rPr>
          <w:rStyle w:val="elementtoproof"/>
          <w:rFonts w:ascii="Arial" w:hAnsi="Arial" w:cs="Arial"/>
          <w:b/>
          <w:bCs/>
          <w:color w:val="000000"/>
          <w:sz w:val="23"/>
          <w:szCs w:val="23"/>
        </w:rPr>
        <w:t>principi deontologici</w:t>
      </w:r>
      <w:r w:rsidRPr="00515F1F">
        <w:rPr>
          <w:rStyle w:val="elementtoproof"/>
          <w:rFonts w:ascii="Arial" w:hAnsi="Arial" w:cs="Arial"/>
          <w:color w:val="000000"/>
          <w:sz w:val="23"/>
          <w:szCs w:val="23"/>
        </w:rPr>
        <w:t> per i commercialisti anche se possono essere fatte proprie da tutti i professionisti (e non professionisti) che compongono l’organo di controllo degli enti del Terzo settore.</w:t>
      </w:r>
    </w:p>
    <w:p w14:paraId="6183D666" w14:textId="77777777" w:rsidR="00515F1F" w:rsidRPr="00515F1F" w:rsidRDefault="00515F1F" w:rsidP="00F70079">
      <w:pPr>
        <w:jc w:val="both"/>
        <w:rPr>
          <w:rFonts w:ascii="Arial" w:hAnsi="Arial" w:cs="Arial"/>
          <w:color w:val="000000"/>
          <w:sz w:val="23"/>
          <w:szCs w:val="23"/>
        </w:rPr>
      </w:pPr>
    </w:p>
    <w:p w14:paraId="4326EC78" w14:textId="77777777" w:rsidR="00F70079" w:rsidRDefault="00F70079" w:rsidP="00F70079">
      <w:pPr>
        <w:jc w:val="both"/>
        <w:rPr>
          <w:rStyle w:val="elementtoproof"/>
          <w:rFonts w:ascii="Arial" w:hAnsi="Arial" w:cs="Arial"/>
          <w:color w:val="000000"/>
          <w:sz w:val="23"/>
          <w:szCs w:val="23"/>
        </w:rPr>
      </w:pPr>
      <w:r w:rsidRPr="00515F1F">
        <w:rPr>
          <w:rStyle w:val="elementtoproof"/>
          <w:rFonts w:ascii="Arial" w:hAnsi="Arial" w:cs="Arial"/>
          <w:color w:val="000000"/>
          <w:sz w:val="23"/>
          <w:szCs w:val="23"/>
        </w:rPr>
        <w:t xml:space="preserve">Le Norme degli organi di controllo degli enti del Terzo settore partono dall’analisi delle </w:t>
      </w:r>
      <w:r w:rsidRPr="00515F1F">
        <w:rPr>
          <w:rStyle w:val="elementtoproof"/>
          <w:rFonts w:ascii="Arial" w:hAnsi="Arial" w:cs="Arial"/>
          <w:b/>
          <w:bCs/>
          <w:i/>
          <w:iCs/>
          <w:color w:val="000000"/>
          <w:sz w:val="23"/>
          <w:szCs w:val="23"/>
        </w:rPr>
        <w:t>Norme di comportamento del collegio sindacale delle società non quotate</w:t>
      </w:r>
      <w:r w:rsidRPr="00515F1F">
        <w:rPr>
          <w:rStyle w:val="elementtoproof"/>
          <w:rFonts w:ascii="Arial" w:hAnsi="Arial" w:cs="Arial"/>
          <w:color w:val="000000"/>
          <w:sz w:val="23"/>
          <w:szCs w:val="23"/>
        </w:rPr>
        <w:t>, considerato che le funzioni attribuite all’organo di controllo dal legislatore dell’</w:t>
      </w:r>
      <w:r w:rsidRPr="00515F1F">
        <w:rPr>
          <w:rStyle w:val="elementtoproof"/>
          <w:rFonts w:ascii="Arial" w:hAnsi="Arial" w:cs="Arial"/>
          <w:b/>
          <w:bCs/>
          <w:color w:val="000000"/>
          <w:sz w:val="23"/>
          <w:szCs w:val="23"/>
        </w:rPr>
        <w:t>articolo 30 del Codice del Terzo settore</w:t>
      </w:r>
      <w:r w:rsidRPr="00515F1F">
        <w:rPr>
          <w:rStyle w:val="elementtoproof"/>
          <w:rFonts w:ascii="Arial" w:hAnsi="Arial" w:cs="Arial"/>
          <w:color w:val="000000"/>
          <w:sz w:val="23"/>
          <w:szCs w:val="23"/>
        </w:rPr>
        <w:t> ricalcano piuttosto evidentemente i compiti di vigilanza dell’articolo affidati dall’</w:t>
      </w:r>
      <w:r w:rsidRPr="00515F1F">
        <w:rPr>
          <w:rStyle w:val="elementtoproof"/>
          <w:rFonts w:ascii="Arial" w:hAnsi="Arial" w:cs="Arial"/>
          <w:b/>
          <w:bCs/>
          <w:color w:val="000000"/>
          <w:sz w:val="23"/>
          <w:szCs w:val="23"/>
        </w:rPr>
        <w:t xml:space="preserve">articolo 2403 del Codice civile </w:t>
      </w:r>
      <w:r w:rsidRPr="00515F1F">
        <w:rPr>
          <w:rStyle w:val="elementtoproof"/>
          <w:rFonts w:ascii="Arial" w:hAnsi="Arial" w:cs="Arial"/>
          <w:color w:val="000000"/>
          <w:sz w:val="23"/>
          <w:szCs w:val="23"/>
        </w:rPr>
        <w:t>al collegio sindacale.</w:t>
      </w:r>
    </w:p>
    <w:p w14:paraId="30CC44AD" w14:textId="77777777" w:rsidR="00515F1F" w:rsidRPr="00515F1F" w:rsidRDefault="00515F1F" w:rsidP="00F70079">
      <w:pPr>
        <w:jc w:val="both"/>
        <w:rPr>
          <w:rFonts w:ascii="Arial" w:hAnsi="Arial" w:cs="Arial"/>
          <w:color w:val="000000"/>
          <w:sz w:val="23"/>
          <w:szCs w:val="23"/>
        </w:rPr>
      </w:pPr>
    </w:p>
    <w:p w14:paraId="474A9687" w14:textId="77777777" w:rsidR="00F70079" w:rsidRDefault="00F70079" w:rsidP="00F70079">
      <w:pPr>
        <w:jc w:val="both"/>
        <w:rPr>
          <w:rStyle w:val="elementtoproof"/>
          <w:rFonts w:ascii="Arial" w:hAnsi="Arial" w:cs="Arial"/>
          <w:color w:val="000000"/>
          <w:sz w:val="23"/>
          <w:szCs w:val="23"/>
        </w:rPr>
      </w:pPr>
      <w:r w:rsidRPr="00515F1F">
        <w:rPr>
          <w:rStyle w:val="elementtoproof"/>
          <w:rFonts w:ascii="Arial" w:hAnsi="Arial" w:cs="Arial"/>
          <w:color w:val="000000"/>
          <w:sz w:val="23"/>
          <w:szCs w:val="23"/>
        </w:rPr>
        <w:t>La normativa del Terzo settore attribuisce però all’organo di controllo compiti “</w:t>
      </w:r>
      <w:r w:rsidRPr="00515F1F">
        <w:rPr>
          <w:rStyle w:val="elementtoproof"/>
          <w:rFonts w:ascii="Arial" w:hAnsi="Arial" w:cs="Arial"/>
          <w:b/>
          <w:bCs/>
          <w:color w:val="000000"/>
          <w:sz w:val="23"/>
          <w:szCs w:val="23"/>
        </w:rPr>
        <w:t>aggiuntivi</w:t>
      </w:r>
      <w:r w:rsidRPr="00515F1F">
        <w:rPr>
          <w:rStyle w:val="elementtoproof"/>
          <w:rFonts w:ascii="Arial" w:hAnsi="Arial" w:cs="Arial"/>
          <w:color w:val="000000"/>
          <w:sz w:val="23"/>
          <w:szCs w:val="23"/>
        </w:rPr>
        <w:t xml:space="preserve">” che si rendono necessari, da un lato, per verificare che gli adempimenti specificamente richiesti siano correttamente eseguiti e, dall’altro lato, che l’attività svolta sia orientata, per quanto possibile e nel rispetto delle funzioni attribuite, a garantire che l’ente persegua effettivamente “finalità civiche, solidaristiche e di utilità sociale”. Con riferimento a tali controlli, le Norme individuano il comportamento da adottare in parte, in via </w:t>
      </w:r>
      <w:r w:rsidRPr="00515F1F">
        <w:rPr>
          <w:rStyle w:val="elementtoproof"/>
          <w:rFonts w:ascii="Arial" w:hAnsi="Arial" w:cs="Arial"/>
          <w:b/>
          <w:bCs/>
          <w:color w:val="000000"/>
          <w:sz w:val="23"/>
          <w:szCs w:val="23"/>
        </w:rPr>
        <w:t>analogica</w:t>
      </w:r>
      <w:r w:rsidRPr="00515F1F">
        <w:rPr>
          <w:rStyle w:val="elementtoproof"/>
          <w:rFonts w:ascii="Arial" w:hAnsi="Arial" w:cs="Arial"/>
          <w:color w:val="000000"/>
          <w:sz w:val="23"/>
          <w:szCs w:val="23"/>
        </w:rPr>
        <w:t xml:space="preserve">, sulle </w:t>
      </w:r>
      <w:r w:rsidRPr="00515F1F">
        <w:rPr>
          <w:rStyle w:val="elementtoproof"/>
          <w:rFonts w:ascii="Arial" w:hAnsi="Arial" w:cs="Arial"/>
          <w:b/>
          <w:bCs/>
          <w:i/>
          <w:iCs/>
          <w:color w:val="000000"/>
          <w:sz w:val="23"/>
          <w:szCs w:val="23"/>
        </w:rPr>
        <w:t>best practice</w:t>
      </w:r>
      <w:r w:rsidRPr="00515F1F">
        <w:rPr>
          <w:rStyle w:val="elementtoproof"/>
          <w:rFonts w:ascii="Arial" w:hAnsi="Arial" w:cs="Arial"/>
          <w:b/>
          <w:bCs/>
          <w:color w:val="000000"/>
          <w:sz w:val="23"/>
          <w:szCs w:val="23"/>
        </w:rPr>
        <w:t> applicabili</w:t>
      </w:r>
      <w:r w:rsidRPr="00515F1F">
        <w:rPr>
          <w:rStyle w:val="elementtoproof"/>
          <w:rFonts w:ascii="Arial" w:hAnsi="Arial" w:cs="Arial"/>
          <w:color w:val="000000"/>
          <w:sz w:val="23"/>
          <w:szCs w:val="23"/>
        </w:rPr>
        <w:t xml:space="preserve">, seppur adattate, a livello nazionale e internazionale e, in altra parte, traendo spunto dalle </w:t>
      </w:r>
      <w:r w:rsidRPr="00515F1F">
        <w:rPr>
          <w:rStyle w:val="elementtoproof"/>
          <w:rFonts w:ascii="Arial" w:hAnsi="Arial" w:cs="Arial"/>
          <w:b/>
          <w:bCs/>
          <w:color w:val="000000"/>
          <w:sz w:val="23"/>
          <w:szCs w:val="23"/>
        </w:rPr>
        <w:t>prassi operative esistenti</w:t>
      </w:r>
      <w:r w:rsidRPr="00515F1F">
        <w:rPr>
          <w:rStyle w:val="elementtoproof"/>
          <w:rFonts w:ascii="Arial" w:hAnsi="Arial" w:cs="Arial"/>
          <w:color w:val="000000"/>
          <w:sz w:val="23"/>
          <w:szCs w:val="23"/>
        </w:rPr>
        <w:t>.</w:t>
      </w:r>
    </w:p>
    <w:p w14:paraId="114B253D" w14:textId="77777777" w:rsidR="00515F1F" w:rsidRPr="00515F1F" w:rsidRDefault="00515F1F" w:rsidP="00F70079">
      <w:pPr>
        <w:jc w:val="both"/>
        <w:rPr>
          <w:rFonts w:ascii="Arial" w:hAnsi="Arial" w:cs="Arial"/>
          <w:color w:val="000000"/>
          <w:sz w:val="23"/>
          <w:szCs w:val="23"/>
        </w:rPr>
      </w:pPr>
    </w:p>
    <w:p w14:paraId="137D9834" w14:textId="77777777" w:rsidR="00F70079" w:rsidRDefault="00F70079" w:rsidP="00F70079">
      <w:pPr>
        <w:jc w:val="both"/>
        <w:rPr>
          <w:rStyle w:val="elementtoproof"/>
          <w:rFonts w:ascii="Arial" w:hAnsi="Arial" w:cs="Arial"/>
          <w:color w:val="000000"/>
          <w:sz w:val="23"/>
          <w:szCs w:val="23"/>
        </w:rPr>
      </w:pPr>
      <w:r w:rsidRPr="00515F1F">
        <w:rPr>
          <w:rStyle w:val="elementtoproof"/>
          <w:rFonts w:ascii="Arial" w:hAnsi="Arial" w:cs="Arial"/>
          <w:color w:val="000000"/>
          <w:sz w:val="23"/>
          <w:szCs w:val="23"/>
        </w:rPr>
        <w:t xml:space="preserve">Ad ogni modo, le Norme configurano un </w:t>
      </w:r>
      <w:r w:rsidRPr="00515F1F">
        <w:rPr>
          <w:rStyle w:val="elementtoproof"/>
          <w:rFonts w:ascii="Arial" w:hAnsi="Arial" w:cs="Arial"/>
          <w:b/>
          <w:bCs/>
          <w:i/>
          <w:iCs/>
          <w:color w:val="000000"/>
          <w:sz w:val="23"/>
          <w:szCs w:val="23"/>
        </w:rPr>
        <w:t>corpus</w:t>
      </w:r>
      <w:r w:rsidRPr="00515F1F">
        <w:rPr>
          <w:rStyle w:val="elementtoproof"/>
          <w:rFonts w:ascii="Arial" w:hAnsi="Arial" w:cs="Arial"/>
          <w:b/>
          <w:bCs/>
          <w:color w:val="000000"/>
          <w:sz w:val="23"/>
          <w:szCs w:val="23"/>
        </w:rPr>
        <w:t xml:space="preserve"> </w:t>
      </w:r>
      <w:r w:rsidRPr="00515F1F">
        <w:rPr>
          <w:rStyle w:val="elementtoproof"/>
          <w:rFonts w:ascii="Arial" w:hAnsi="Arial" w:cs="Arial"/>
          <w:color w:val="000000"/>
          <w:sz w:val="23"/>
          <w:szCs w:val="23"/>
        </w:rPr>
        <w:t>di disposizioni autonomo articolato su principi di carattere generale (</w:t>
      </w:r>
      <w:proofErr w:type="spellStart"/>
      <w:r w:rsidRPr="00515F1F">
        <w:rPr>
          <w:rStyle w:val="elementtoproof"/>
          <w:rFonts w:ascii="Arial" w:hAnsi="Arial" w:cs="Arial"/>
          <w:b/>
          <w:bCs/>
          <w:i/>
          <w:iCs/>
          <w:color w:val="000000"/>
          <w:sz w:val="23"/>
          <w:szCs w:val="23"/>
        </w:rPr>
        <w:t>principles</w:t>
      </w:r>
      <w:proofErr w:type="spellEnd"/>
      <w:r w:rsidRPr="00515F1F">
        <w:rPr>
          <w:rStyle w:val="elementtoproof"/>
          <w:rFonts w:ascii="Arial" w:hAnsi="Arial" w:cs="Arial"/>
          <w:b/>
          <w:bCs/>
          <w:i/>
          <w:iCs/>
          <w:color w:val="000000"/>
          <w:sz w:val="23"/>
          <w:szCs w:val="23"/>
        </w:rPr>
        <w:t xml:space="preserve"> </w:t>
      </w:r>
      <w:proofErr w:type="spellStart"/>
      <w:r w:rsidRPr="00515F1F">
        <w:rPr>
          <w:rStyle w:val="elementtoproof"/>
          <w:rFonts w:ascii="Arial" w:hAnsi="Arial" w:cs="Arial"/>
          <w:b/>
          <w:bCs/>
          <w:i/>
          <w:iCs/>
          <w:color w:val="000000"/>
          <w:sz w:val="23"/>
          <w:szCs w:val="23"/>
        </w:rPr>
        <w:t>based</w:t>
      </w:r>
      <w:proofErr w:type="spellEnd"/>
      <w:r w:rsidRPr="00515F1F">
        <w:rPr>
          <w:rStyle w:val="elementtoproof"/>
          <w:rFonts w:ascii="Arial" w:hAnsi="Arial" w:cs="Arial"/>
          <w:color w:val="000000"/>
          <w:sz w:val="23"/>
          <w:szCs w:val="23"/>
        </w:rPr>
        <w:t>) che, in quanto tale, necessita di essere applicato in modo razionale ai casi concreti che il professionista si trova ad affrontare in ragione delle tipicità proprie dell’ente e delle problematiche affrontate.</w:t>
      </w:r>
    </w:p>
    <w:p w14:paraId="58D6AC51" w14:textId="77777777" w:rsidR="00515F1F" w:rsidRPr="00515F1F" w:rsidRDefault="00515F1F" w:rsidP="00F70079">
      <w:pPr>
        <w:jc w:val="both"/>
        <w:rPr>
          <w:rFonts w:ascii="Arial" w:hAnsi="Arial" w:cs="Arial"/>
          <w:color w:val="000000"/>
          <w:sz w:val="23"/>
          <w:szCs w:val="23"/>
        </w:rPr>
      </w:pPr>
    </w:p>
    <w:p w14:paraId="5444D097" w14:textId="77777777" w:rsidR="00F70079" w:rsidRDefault="00F70079" w:rsidP="00F70079">
      <w:pPr>
        <w:jc w:val="both"/>
        <w:rPr>
          <w:rStyle w:val="elementtoproof"/>
          <w:rFonts w:ascii="Arial" w:hAnsi="Arial" w:cs="Arial"/>
          <w:color w:val="000000"/>
          <w:sz w:val="23"/>
          <w:szCs w:val="23"/>
        </w:rPr>
      </w:pPr>
      <w:r w:rsidRPr="00515F1F">
        <w:rPr>
          <w:rStyle w:val="elementtoproof"/>
          <w:rFonts w:ascii="Arial" w:hAnsi="Arial" w:cs="Arial"/>
          <w:color w:val="000000"/>
          <w:sz w:val="23"/>
          <w:szCs w:val="23"/>
        </w:rPr>
        <w:t xml:space="preserve">Le Norme, che accolgono anche talune specifiche integrazioni avvenute a seguito dei commenti pervenuti nel periodo di pubblica consultazione e degli ulteriori approfondimenti effettuati, sono state riviste anche al fine di tenere conto delle </w:t>
      </w:r>
      <w:r w:rsidRPr="00515F1F">
        <w:rPr>
          <w:rStyle w:val="elementtoproof"/>
          <w:rFonts w:ascii="Arial" w:hAnsi="Arial" w:cs="Arial"/>
          <w:b/>
          <w:bCs/>
          <w:color w:val="000000"/>
          <w:sz w:val="23"/>
          <w:szCs w:val="23"/>
        </w:rPr>
        <w:t>disposizioni in essere</w:t>
      </w:r>
      <w:r w:rsidRPr="00515F1F">
        <w:rPr>
          <w:rStyle w:val="elementtoproof"/>
          <w:rFonts w:ascii="Arial" w:hAnsi="Arial" w:cs="Arial"/>
          <w:color w:val="000000"/>
          <w:sz w:val="23"/>
          <w:szCs w:val="23"/>
        </w:rPr>
        <w:t xml:space="preserve"> e delle </w:t>
      </w:r>
      <w:r w:rsidRPr="00515F1F">
        <w:rPr>
          <w:rStyle w:val="elementtoproof"/>
          <w:rFonts w:ascii="Arial" w:hAnsi="Arial" w:cs="Arial"/>
          <w:b/>
          <w:bCs/>
          <w:color w:val="000000"/>
          <w:sz w:val="23"/>
          <w:szCs w:val="23"/>
        </w:rPr>
        <w:t>evoluzioni della prassi</w:t>
      </w:r>
      <w:r w:rsidRPr="00515F1F">
        <w:rPr>
          <w:rStyle w:val="elementtoproof"/>
          <w:rFonts w:ascii="Arial" w:hAnsi="Arial" w:cs="Arial"/>
          <w:color w:val="000000"/>
          <w:sz w:val="23"/>
          <w:szCs w:val="23"/>
        </w:rPr>
        <w:t xml:space="preserve"> dei controlli delle società e degli ETS stessi. In questa prospettiva, sono state aggiunte la </w:t>
      </w:r>
      <w:r w:rsidRPr="00515F1F">
        <w:rPr>
          <w:rStyle w:val="elementtoproof"/>
          <w:rFonts w:ascii="Arial" w:hAnsi="Arial" w:cs="Arial"/>
          <w:b/>
          <w:bCs/>
          <w:color w:val="000000"/>
          <w:sz w:val="23"/>
          <w:szCs w:val="23"/>
        </w:rPr>
        <w:t>Norma 3.2.1.</w:t>
      </w:r>
      <w:r w:rsidRPr="00515F1F">
        <w:rPr>
          <w:rStyle w:val="elementtoproof"/>
          <w:rFonts w:ascii="Arial" w:hAnsi="Arial" w:cs="Arial"/>
          <w:color w:val="000000"/>
          <w:sz w:val="23"/>
          <w:szCs w:val="23"/>
        </w:rPr>
        <w:t xml:space="preserve"> sui controlli specificamente destinati alle </w:t>
      </w:r>
      <w:r w:rsidRPr="00515F1F">
        <w:rPr>
          <w:rStyle w:val="elementtoproof"/>
          <w:rFonts w:ascii="Arial" w:hAnsi="Arial" w:cs="Arial"/>
          <w:b/>
          <w:bCs/>
          <w:color w:val="000000"/>
          <w:sz w:val="23"/>
          <w:szCs w:val="23"/>
        </w:rPr>
        <w:t>Organizzazioni di volontariato</w:t>
      </w:r>
      <w:r w:rsidRPr="00515F1F">
        <w:rPr>
          <w:rStyle w:val="elementtoproof"/>
          <w:rFonts w:ascii="Arial" w:hAnsi="Arial" w:cs="Arial"/>
          <w:color w:val="000000"/>
          <w:sz w:val="23"/>
          <w:szCs w:val="23"/>
        </w:rPr>
        <w:t xml:space="preserve"> e alle </w:t>
      </w:r>
      <w:r w:rsidRPr="00515F1F">
        <w:rPr>
          <w:rStyle w:val="elementtoproof"/>
          <w:rFonts w:ascii="Arial" w:hAnsi="Arial" w:cs="Arial"/>
          <w:b/>
          <w:bCs/>
          <w:color w:val="000000"/>
          <w:sz w:val="23"/>
          <w:szCs w:val="23"/>
        </w:rPr>
        <w:t>Associazioni di promozione sociale</w:t>
      </w:r>
      <w:r w:rsidRPr="00515F1F">
        <w:rPr>
          <w:rStyle w:val="elementtoproof"/>
          <w:rFonts w:ascii="Arial" w:hAnsi="Arial" w:cs="Arial"/>
          <w:color w:val="000000"/>
          <w:sz w:val="23"/>
          <w:szCs w:val="23"/>
        </w:rPr>
        <w:t xml:space="preserve"> che, da sole, costituiscono circa </w:t>
      </w:r>
      <w:r w:rsidRPr="00515F1F">
        <w:rPr>
          <w:rStyle w:val="elementtoproof"/>
          <w:rFonts w:ascii="Arial" w:hAnsi="Arial" w:cs="Arial"/>
          <w:b/>
          <w:bCs/>
          <w:color w:val="000000"/>
          <w:sz w:val="23"/>
          <w:szCs w:val="23"/>
        </w:rPr>
        <w:t>l’80% degli enti iscritti nel RUNTS</w:t>
      </w:r>
      <w:r w:rsidRPr="00515F1F">
        <w:rPr>
          <w:rStyle w:val="elementtoproof"/>
          <w:rFonts w:ascii="Arial" w:hAnsi="Arial" w:cs="Arial"/>
          <w:color w:val="000000"/>
          <w:sz w:val="23"/>
          <w:szCs w:val="23"/>
        </w:rPr>
        <w:t xml:space="preserve">, e le novellate </w:t>
      </w:r>
      <w:r w:rsidRPr="00515F1F">
        <w:rPr>
          <w:rStyle w:val="elementtoproof"/>
          <w:rFonts w:ascii="Arial" w:hAnsi="Arial" w:cs="Arial"/>
          <w:b/>
          <w:bCs/>
          <w:color w:val="000000"/>
          <w:sz w:val="23"/>
          <w:szCs w:val="23"/>
        </w:rPr>
        <w:t>Norma 3.9.</w:t>
      </w:r>
      <w:r w:rsidRPr="00515F1F">
        <w:rPr>
          <w:rStyle w:val="elementtoproof"/>
          <w:rFonts w:ascii="Arial" w:hAnsi="Arial" w:cs="Arial"/>
          <w:color w:val="000000"/>
          <w:sz w:val="23"/>
          <w:szCs w:val="23"/>
        </w:rPr>
        <w:t> in materia di controlli correlati all’implementazione della normativa sul “</w:t>
      </w:r>
      <w:r w:rsidRPr="00515F1F">
        <w:rPr>
          <w:rStyle w:val="elementtoproof"/>
          <w:rFonts w:ascii="Arial" w:hAnsi="Arial" w:cs="Arial"/>
          <w:b/>
          <w:bCs/>
          <w:color w:val="000000"/>
          <w:sz w:val="23"/>
          <w:szCs w:val="23"/>
        </w:rPr>
        <w:t>whistleblowing</w:t>
      </w:r>
      <w:r w:rsidRPr="00515F1F">
        <w:rPr>
          <w:rStyle w:val="elementtoproof"/>
          <w:rFonts w:ascii="Arial" w:hAnsi="Arial" w:cs="Arial"/>
          <w:color w:val="000000"/>
          <w:sz w:val="23"/>
          <w:szCs w:val="23"/>
        </w:rPr>
        <w:t xml:space="preserve">” e </w:t>
      </w:r>
      <w:r w:rsidRPr="00515F1F">
        <w:rPr>
          <w:rStyle w:val="elementtoproof"/>
          <w:rFonts w:ascii="Arial" w:hAnsi="Arial" w:cs="Arial"/>
          <w:b/>
          <w:bCs/>
          <w:color w:val="000000"/>
          <w:sz w:val="23"/>
          <w:szCs w:val="23"/>
        </w:rPr>
        <w:t>Norma 4.2.</w:t>
      </w:r>
      <w:r w:rsidRPr="00515F1F">
        <w:rPr>
          <w:rStyle w:val="elementtoproof"/>
          <w:rFonts w:ascii="Arial" w:hAnsi="Arial" w:cs="Arial"/>
          <w:color w:val="000000"/>
          <w:sz w:val="23"/>
          <w:szCs w:val="23"/>
        </w:rPr>
        <w:t xml:space="preserve"> concernente la partecipazione alle </w:t>
      </w:r>
      <w:r w:rsidRPr="00515F1F">
        <w:rPr>
          <w:rStyle w:val="elementtoproof"/>
          <w:rFonts w:ascii="Arial" w:hAnsi="Arial" w:cs="Arial"/>
          <w:b/>
          <w:bCs/>
          <w:color w:val="000000"/>
          <w:sz w:val="23"/>
          <w:szCs w:val="23"/>
        </w:rPr>
        <w:t>assemblee totalitarie</w:t>
      </w:r>
      <w:r w:rsidRPr="00515F1F">
        <w:rPr>
          <w:rStyle w:val="elementtoproof"/>
          <w:rFonts w:ascii="Arial" w:hAnsi="Arial" w:cs="Arial"/>
          <w:color w:val="000000"/>
          <w:sz w:val="23"/>
          <w:szCs w:val="23"/>
        </w:rPr>
        <w:t>.</w:t>
      </w:r>
    </w:p>
    <w:p w14:paraId="3D21D645" w14:textId="77777777" w:rsidR="00515F1F" w:rsidRPr="00515F1F" w:rsidRDefault="00515F1F" w:rsidP="00F70079">
      <w:pPr>
        <w:jc w:val="both"/>
        <w:rPr>
          <w:rFonts w:ascii="Arial" w:hAnsi="Arial" w:cs="Arial"/>
          <w:color w:val="000000"/>
          <w:sz w:val="23"/>
          <w:szCs w:val="23"/>
        </w:rPr>
      </w:pPr>
    </w:p>
    <w:p w14:paraId="1049C2E6" w14:textId="0559EDD7" w:rsidR="00951072" w:rsidRPr="00515F1F" w:rsidRDefault="00F70079" w:rsidP="00951072">
      <w:pPr>
        <w:jc w:val="both"/>
        <w:rPr>
          <w:rFonts w:ascii="Arial" w:eastAsia="Aptos" w:hAnsi="Arial" w:cs="Arial"/>
          <w:sz w:val="23"/>
          <w:szCs w:val="23"/>
        </w:rPr>
      </w:pPr>
      <w:r w:rsidRPr="00515F1F">
        <w:rPr>
          <w:rStyle w:val="elementtoproof"/>
          <w:rFonts w:ascii="Arial" w:hAnsi="Arial" w:cs="Arial"/>
          <w:color w:val="000000"/>
          <w:sz w:val="23"/>
          <w:szCs w:val="23"/>
        </w:rPr>
        <w:t xml:space="preserve">Le Norme non sono applicabili, se non in via analogica da parte dei professionisti, ai controlli delle “imprese sociali”. La disciplina delle imprese sociali, infatti, segue le specifiche previsioni contenute nel d.lgs. n. 112 del 2017 </w:t>
      </w:r>
      <w:r w:rsidRPr="00515F1F">
        <w:rPr>
          <w:rStyle w:val="elementtoproof"/>
          <w:rFonts w:ascii="Arial" w:hAnsi="Arial" w:cs="Arial"/>
          <w:i/>
          <w:iCs/>
          <w:color w:val="000000"/>
          <w:sz w:val="23"/>
          <w:szCs w:val="23"/>
        </w:rPr>
        <w:t>Revisione della disciplina in materia di impresa sociale</w:t>
      </w:r>
      <w:r w:rsidRPr="00515F1F">
        <w:rPr>
          <w:rStyle w:val="elementtoproof"/>
          <w:rFonts w:ascii="Arial" w:hAnsi="Arial" w:cs="Arial"/>
          <w:color w:val="000000"/>
          <w:sz w:val="23"/>
          <w:szCs w:val="23"/>
        </w:rPr>
        <w:t>.</w:t>
      </w:r>
    </w:p>
    <w:sectPr w:rsidR="00951072" w:rsidRPr="00515F1F">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978F" w14:textId="77777777" w:rsidR="00B1724A" w:rsidRDefault="00B1724A" w:rsidP="00A57D38">
      <w:r>
        <w:separator/>
      </w:r>
    </w:p>
  </w:endnote>
  <w:endnote w:type="continuationSeparator" w:id="0">
    <w:p w14:paraId="7F912A79" w14:textId="77777777" w:rsidR="00B1724A" w:rsidRDefault="00B1724A" w:rsidP="00A5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36089" w14:textId="77777777" w:rsidR="00B1724A" w:rsidRDefault="00B1724A" w:rsidP="00A57D38">
      <w:r>
        <w:separator/>
      </w:r>
    </w:p>
  </w:footnote>
  <w:footnote w:type="continuationSeparator" w:id="0">
    <w:p w14:paraId="1610AE3D" w14:textId="77777777" w:rsidR="00B1724A" w:rsidRDefault="00B1724A" w:rsidP="00A57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10A1" w14:textId="54DE1EA9" w:rsidR="00A57D38" w:rsidRDefault="00A57D38" w:rsidP="00A57D38">
    <w:pPr>
      <w:pStyle w:val="Intestazione"/>
      <w:jc w:val="center"/>
    </w:pPr>
    <w:r w:rsidRPr="00F6138D">
      <w:rPr>
        <w:noProof/>
        <w:lang w:eastAsia="it-IT"/>
      </w:rPr>
      <w:drawing>
        <wp:inline distT="0" distB="0" distL="0" distR="0" wp14:anchorId="45169683" wp14:editId="3070078B">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8E96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16C4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43A366E"/>
    <w:multiLevelType w:val="hybridMultilevel"/>
    <w:tmpl w:val="1626322E"/>
    <w:lvl w:ilvl="0" w:tplc="62B8BA48">
      <w:numFmt w:val="bullet"/>
      <w:lvlText w:val="•"/>
      <w:lvlJc w:val="left"/>
      <w:pPr>
        <w:ind w:left="710" w:hanging="710"/>
      </w:pPr>
      <w:rPr>
        <w:rFonts w:ascii="Aptos" w:eastAsiaTheme="minorHAnsi" w:hAnsi="Aptos"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70004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CEB5142"/>
    <w:multiLevelType w:val="hybridMultilevel"/>
    <w:tmpl w:val="D1F08B4A"/>
    <w:lvl w:ilvl="0" w:tplc="633A46C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1898021">
    <w:abstractNumId w:val="1"/>
  </w:num>
  <w:num w:numId="2" w16cid:durableId="1667399407">
    <w:abstractNumId w:val="3"/>
  </w:num>
  <w:num w:numId="3" w16cid:durableId="1414277269">
    <w:abstractNumId w:val="0"/>
  </w:num>
  <w:num w:numId="4" w16cid:durableId="1241406788">
    <w:abstractNumId w:val="4"/>
  </w:num>
  <w:num w:numId="5" w16cid:durableId="1070616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20"/>
    <w:rsid w:val="000130DF"/>
    <w:rsid w:val="000145FA"/>
    <w:rsid w:val="00030943"/>
    <w:rsid w:val="00047293"/>
    <w:rsid w:val="00062DEE"/>
    <w:rsid w:val="00073928"/>
    <w:rsid w:val="00075145"/>
    <w:rsid w:val="00092242"/>
    <w:rsid w:val="0009231C"/>
    <w:rsid w:val="000B02CC"/>
    <w:rsid w:val="000D5879"/>
    <w:rsid w:val="000F7086"/>
    <w:rsid w:val="00135FBD"/>
    <w:rsid w:val="001B1AFB"/>
    <w:rsid w:val="001C1AD6"/>
    <w:rsid w:val="001C35F9"/>
    <w:rsid w:val="001D50E7"/>
    <w:rsid w:val="00200236"/>
    <w:rsid w:val="00227893"/>
    <w:rsid w:val="00234E76"/>
    <w:rsid w:val="0024138A"/>
    <w:rsid w:val="00260771"/>
    <w:rsid w:val="002B1079"/>
    <w:rsid w:val="002C2696"/>
    <w:rsid w:val="002D2FC2"/>
    <w:rsid w:val="002D511F"/>
    <w:rsid w:val="00300C69"/>
    <w:rsid w:val="00326C78"/>
    <w:rsid w:val="003507F7"/>
    <w:rsid w:val="0036260D"/>
    <w:rsid w:val="0036302D"/>
    <w:rsid w:val="00363683"/>
    <w:rsid w:val="003739DF"/>
    <w:rsid w:val="003A4F3F"/>
    <w:rsid w:val="003B5D81"/>
    <w:rsid w:val="003B6B20"/>
    <w:rsid w:val="003C6E20"/>
    <w:rsid w:val="003D5628"/>
    <w:rsid w:val="003F23D6"/>
    <w:rsid w:val="003F5D99"/>
    <w:rsid w:val="004055D0"/>
    <w:rsid w:val="00427331"/>
    <w:rsid w:val="004415FD"/>
    <w:rsid w:val="00496E32"/>
    <w:rsid w:val="004E25A1"/>
    <w:rsid w:val="004E2BA6"/>
    <w:rsid w:val="00501654"/>
    <w:rsid w:val="00515F1F"/>
    <w:rsid w:val="00522640"/>
    <w:rsid w:val="005315AC"/>
    <w:rsid w:val="005416BD"/>
    <w:rsid w:val="00543A7A"/>
    <w:rsid w:val="0056307D"/>
    <w:rsid w:val="00565C97"/>
    <w:rsid w:val="00582545"/>
    <w:rsid w:val="00592D37"/>
    <w:rsid w:val="005C0771"/>
    <w:rsid w:val="005F63FC"/>
    <w:rsid w:val="00600B5B"/>
    <w:rsid w:val="00607179"/>
    <w:rsid w:val="00677E20"/>
    <w:rsid w:val="006804D2"/>
    <w:rsid w:val="006C2AEE"/>
    <w:rsid w:val="006E6033"/>
    <w:rsid w:val="006E72CE"/>
    <w:rsid w:val="00700600"/>
    <w:rsid w:val="00713B6B"/>
    <w:rsid w:val="00727620"/>
    <w:rsid w:val="00780E44"/>
    <w:rsid w:val="007E452B"/>
    <w:rsid w:val="00830EF3"/>
    <w:rsid w:val="008A544B"/>
    <w:rsid w:val="008C1806"/>
    <w:rsid w:val="008C5196"/>
    <w:rsid w:val="008D3D99"/>
    <w:rsid w:val="00901225"/>
    <w:rsid w:val="00933F3A"/>
    <w:rsid w:val="00951072"/>
    <w:rsid w:val="009531F7"/>
    <w:rsid w:val="0095401E"/>
    <w:rsid w:val="009742A0"/>
    <w:rsid w:val="00987E6C"/>
    <w:rsid w:val="009B2452"/>
    <w:rsid w:val="009B3602"/>
    <w:rsid w:val="009D18F4"/>
    <w:rsid w:val="009D30A8"/>
    <w:rsid w:val="00A1045D"/>
    <w:rsid w:val="00A1160C"/>
    <w:rsid w:val="00A2019D"/>
    <w:rsid w:val="00A474AF"/>
    <w:rsid w:val="00A57D38"/>
    <w:rsid w:val="00A70B1B"/>
    <w:rsid w:val="00AA4123"/>
    <w:rsid w:val="00B00A41"/>
    <w:rsid w:val="00B071DC"/>
    <w:rsid w:val="00B1724A"/>
    <w:rsid w:val="00B33601"/>
    <w:rsid w:val="00B33B6E"/>
    <w:rsid w:val="00B51AF3"/>
    <w:rsid w:val="00B55508"/>
    <w:rsid w:val="00B83EED"/>
    <w:rsid w:val="00BE4889"/>
    <w:rsid w:val="00BF1045"/>
    <w:rsid w:val="00BF587A"/>
    <w:rsid w:val="00C33BF2"/>
    <w:rsid w:val="00C33EDC"/>
    <w:rsid w:val="00C61F00"/>
    <w:rsid w:val="00C7553E"/>
    <w:rsid w:val="00C97980"/>
    <w:rsid w:val="00CA1E56"/>
    <w:rsid w:val="00CC633C"/>
    <w:rsid w:val="00CE4415"/>
    <w:rsid w:val="00D37D06"/>
    <w:rsid w:val="00D44CF6"/>
    <w:rsid w:val="00D4602D"/>
    <w:rsid w:val="00D64EB4"/>
    <w:rsid w:val="00D76651"/>
    <w:rsid w:val="00D9002A"/>
    <w:rsid w:val="00DE44CE"/>
    <w:rsid w:val="00DE623C"/>
    <w:rsid w:val="00DF605A"/>
    <w:rsid w:val="00E14B67"/>
    <w:rsid w:val="00E160E1"/>
    <w:rsid w:val="00E24040"/>
    <w:rsid w:val="00E373BB"/>
    <w:rsid w:val="00E523DF"/>
    <w:rsid w:val="00E67397"/>
    <w:rsid w:val="00E7604E"/>
    <w:rsid w:val="00EA565A"/>
    <w:rsid w:val="00ED7DD3"/>
    <w:rsid w:val="00ED7FAF"/>
    <w:rsid w:val="00EE54BB"/>
    <w:rsid w:val="00EF56BE"/>
    <w:rsid w:val="00F1389A"/>
    <w:rsid w:val="00F27538"/>
    <w:rsid w:val="00F3386C"/>
    <w:rsid w:val="00F36B13"/>
    <w:rsid w:val="00F56290"/>
    <w:rsid w:val="00F60F8F"/>
    <w:rsid w:val="00F70079"/>
    <w:rsid w:val="00F75D1F"/>
    <w:rsid w:val="00F948F3"/>
    <w:rsid w:val="00FB0AA0"/>
    <w:rsid w:val="00FD3A3D"/>
    <w:rsid w:val="00FE03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505"/>
  <w15:docId w15:val="{4AFCF585-401B-418E-B24D-54C90340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0079"/>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3B6B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3B6B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3B6B2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3B6B2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3B6B2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3B6B2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3B6B2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3B6B2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3B6B2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6B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6B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6B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6B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6B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6B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6B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6B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6B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6B2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3B6B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6B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3B6B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6B20"/>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3B6B20"/>
    <w:rPr>
      <w:i/>
      <w:iCs/>
      <w:color w:val="404040" w:themeColor="text1" w:themeTint="BF"/>
    </w:rPr>
  </w:style>
  <w:style w:type="paragraph" w:styleId="Paragrafoelenco">
    <w:name w:val="List Paragraph"/>
    <w:basedOn w:val="Normale"/>
    <w:uiPriority w:val="34"/>
    <w:qFormat/>
    <w:rsid w:val="003B6B20"/>
    <w:pPr>
      <w:spacing w:after="160" w:line="278" w:lineRule="auto"/>
      <w:ind w:left="720"/>
      <w:contextualSpacing/>
    </w:pPr>
    <w:rPr>
      <w:rFonts w:ascii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3B6B20"/>
    <w:rPr>
      <w:i/>
      <w:iCs/>
      <w:color w:val="0F4761" w:themeColor="accent1" w:themeShade="BF"/>
    </w:rPr>
  </w:style>
  <w:style w:type="paragraph" w:styleId="Citazioneintensa">
    <w:name w:val="Intense Quote"/>
    <w:basedOn w:val="Normale"/>
    <w:next w:val="Normale"/>
    <w:link w:val="CitazioneintensaCarattere"/>
    <w:uiPriority w:val="30"/>
    <w:qFormat/>
    <w:rsid w:val="003B6B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3B6B20"/>
    <w:rPr>
      <w:i/>
      <w:iCs/>
      <w:color w:val="0F4761" w:themeColor="accent1" w:themeShade="BF"/>
    </w:rPr>
  </w:style>
  <w:style w:type="character" w:styleId="Riferimentointenso">
    <w:name w:val="Intense Reference"/>
    <w:basedOn w:val="Carpredefinitoparagrafo"/>
    <w:uiPriority w:val="32"/>
    <w:qFormat/>
    <w:rsid w:val="003B6B20"/>
    <w:rPr>
      <w:b/>
      <w:bCs/>
      <w:smallCaps/>
      <w:color w:val="0F4761" w:themeColor="accent1" w:themeShade="BF"/>
      <w:spacing w:val="5"/>
    </w:rPr>
  </w:style>
  <w:style w:type="paragraph" w:customStyle="1" w:styleId="atext">
    <w:name w:val="atext"/>
    <w:basedOn w:val="Normale"/>
    <w:rsid w:val="003B6B20"/>
    <w:pPr>
      <w:spacing w:before="100" w:beforeAutospacing="1" w:after="100" w:afterAutospacing="1"/>
    </w:pPr>
    <w:rPr>
      <w:rFonts w:ascii="Times New Roman" w:eastAsia="Times New Roman" w:hAnsi="Times New Roman" w:cs="Times New Roman"/>
    </w:rPr>
  </w:style>
  <w:style w:type="paragraph" w:styleId="Intestazione">
    <w:name w:val="header"/>
    <w:basedOn w:val="Normale"/>
    <w:link w:val="IntestazioneCarattere"/>
    <w:uiPriority w:val="99"/>
    <w:unhideWhenUsed/>
    <w:rsid w:val="00A57D38"/>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A57D38"/>
  </w:style>
  <w:style w:type="paragraph" w:styleId="Pidipagina">
    <w:name w:val="footer"/>
    <w:basedOn w:val="Normale"/>
    <w:link w:val="PidipaginaCarattere"/>
    <w:uiPriority w:val="99"/>
    <w:unhideWhenUsed/>
    <w:rsid w:val="00A57D38"/>
    <w:pPr>
      <w:tabs>
        <w:tab w:val="center" w:pos="4819"/>
        <w:tab w:val="right" w:pos="9638"/>
      </w:tabs>
    </w:pPr>
  </w:style>
  <w:style w:type="character" w:customStyle="1" w:styleId="PidipaginaCarattere">
    <w:name w:val="Piè di pagina Carattere"/>
    <w:basedOn w:val="Carpredefinitoparagrafo"/>
    <w:link w:val="Pidipagina"/>
    <w:uiPriority w:val="99"/>
    <w:rsid w:val="00A57D38"/>
  </w:style>
  <w:style w:type="paragraph" w:styleId="NormaleWeb">
    <w:name w:val="Normal (Web)"/>
    <w:basedOn w:val="Normale"/>
    <w:uiPriority w:val="99"/>
    <w:unhideWhenUsed/>
    <w:rsid w:val="00CE4415"/>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CE4415"/>
    <w:rPr>
      <w:b/>
      <w:bCs/>
    </w:rPr>
  </w:style>
  <w:style w:type="character" w:styleId="Collegamentoipertestuale">
    <w:name w:val="Hyperlink"/>
    <w:basedOn w:val="Carpredefinitoparagrafo"/>
    <w:uiPriority w:val="99"/>
    <w:unhideWhenUsed/>
    <w:rsid w:val="006C2AEE"/>
    <w:rPr>
      <w:color w:val="0000FF"/>
      <w:u w:val="single"/>
    </w:rPr>
  </w:style>
  <w:style w:type="paragraph" w:styleId="Revisione">
    <w:name w:val="Revision"/>
    <w:hidden/>
    <w:uiPriority w:val="99"/>
    <w:semiHidden/>
    <w:rsid w:val="00A1045D"/>
    <w:pPr>
      <w:spacing w:after="0" w:line="240" w:lineRule="auto"/>
    </w:pPr>
  </w:style>
  <w:style w:type="character" w:customStyle="1" w:styleId="Menzionenonrisolta1">
    <w:name w:val="Menzione non risolta1"/>
    <w:basedOn w:val="Carpredefinitoparagrafo"/>
    <w:uiPriority w:val="99"/>
    <w:semiHidden/>
    <w:unhideWhenUsed/>
    <w:rsid w:val="009B3602"/>
    <w:rPr>
      <w:color w:val="605E5C"/>
      <w:shd w:val="clear" w:color="auto" w:fill="E1DFDD"/>
    </w:rPr>
  </w:style>
  <w:style w:type="character" w:styleId="Collegamentovisitato">
    <w:name w:val="FollowedHyperlink"/>
    <w:basedOn w:val="Carpredefinitoparagrafo"/>
    <w:uiPriority w:val="99"/>
    <w:semiHidden/>
    <w:unhideWhenUsed/>
    <w:rsid w:val="009B3602"/>
    <w:rPr>
      <w:color w:val="96607D" w:themeColor="followedHyperlink"/>
      <w:u w:val="single"/>
    </w:rPr>
  </w:style>
  <w:style w:type="paragraph" w:customStyle="1" w:styleId="Corpotesto1">
    <w:name w:val="Corpo testo1"/>
    <w:basedOn w:val="Normale"/>
    <w:rsid w:val="00135FBD"/>
    <w:pPr>
      <w:spacing w:line="360" w:lineRule="auto"/>
      <w:ind w:firstLine="284"/>
      <w:jc w:val="both"/>
    </w:pPr>
    <w:rPr>
      <w:rFonts w:ascii="Times New Roman" w:eastAsia="Times New Roman" w:hAnsi="Times New Roman" w:cs="Times New Roman"/>
      <w:kern w:val="19"/>
      <w:sz w:val="22"/>
      <w:szCs w:val="20"/>
      <w:lang w:eastAsia="zh-CN"/>
    </w:rPr>
  </w:style>
  <w:style w:type="paragraph" w:styleId="Testofumetto">
    <w:name w:val="Balloon Text"/>
    <w:basedOn w:val="Normale"/>
    <w:link w:val="TestofumettoCarattere"/>
    <w:uiPriority w:val="99"/>
    <w:semiHidden/>
    <w:unhideWhenUsed/>
    <w:rsid w:val="000145FA"/>
    <w:rPr>
      <w:rFonts w:ascii="Tahoma" w:hAnsi="Tahoma" w:cs="Tahoma"/>
      <w:kern w:val="2"/>
      <w:sz w:val="16"/>
      <w:szCs w:val="16"/>
      <w:lang w:eastAsia="en-US"/>
      <w14:ligatures w14:val="standardContextual"/>
    </w:rPr>
  </w:style>
  <w:style w:type="character" w:customStyle="1" w:styleId="TestofumettoCarattere">
    <w:name w:val="Testo fumetto Carattere"/>
    <w:basedOn w:val="Carpredefinitoparagrafo"/>
    <w:link w:val="Testofumetto"/>
    <w:uiPriority w:val="99"/>
    <w:semiHidden/>
    <w:rsid w:val="000145FA"/>
    <w:rPr>
      <w:rFonts w:ascii="Tahoma" w:hAnsi="Tahoma" w:cs="Tahoma"/>
      <w:sz w:val="16"/>
      <w:szCs w:val="16"/>
    </w:rPr>
  </w:style>
  <w:style w:type="paragraph" w:styleId="Testonotaapidipagina">
    <w:name w:val="footnote text"/>
    <w:basedOn w:val="Normale"/>
    <w:link w:val="TestonotaapidipaginaCarattere"/>
    <w:uiPriority w:val="99"/>
    <w:unhideWhenUsed/>
    <w:rsid w:val="00951072"/>
    <w:pPr>
      <w:jc w:val="both"/>
    </w:pPr>
    <w:rPr>
      <w:rFonts w:asciiTheme="minorHAnsi" w:eastAsiaTheme="minorEastAsia" w:hAnsiTheme="minorHAnsi" w:cstheme="minorBidi"/>
      <w:color w:val="595959" w:themeColor="text1" w:themeTint="A6"/>
      <w:sz w:val="20"/>
      <w:szCs w:val="20"/>
      <w:lang w:eastAsia="en-US"/>
    </w:rPr>
  </w:style>
  <w:style w:type="character" w:customStyle="1" w:styleId="TestonotaapidipaginaCarattere">
    <w:name w:val="Testo nota a piè di pagina Carattere"/>
    <w:basedOn w:val="Carpredefinitoparagrafo"/>
    <w:link w:val="Testonotaapidipagina"/>
    <w:uiPriority w:val="99"/>
    <w:rsid w:val="00951072"/>
    <w:rPr>
      <w:rFonts w:eastAsiaTheme="minorEastAsia"/>
      <w:color w:val="595959" w:themeColor="text1" w:themeTint="A6"/>
      <w:kern w:val="0"/>
      <w:sz w:val="20"/>
      <w:szCs w:val="20"/>
      <w14:ligatures w14:val="none"/>
    </w:rPr>
  </w:style>
  <w:style w:type="character" w:styleId="Rimandonotaapidipagina">
    <w:name w:val="footnote reference"/>
    <w:aliases w:val="Rimando nota a piè di pagina 2"/>
    <w:uiPriority w:val="99"/>
    <w:unhideWhenUsed/>
    <w:rsid w:val="00951072"/>
    <w:rPr>
      <w:vertAlign w:val="superscript"/>
    </w:rPr>
  </w:style>
  <w:style w:type="character" w:customStyle="1" w:styleId="elementtoproof">
    <w:name w:val="elementtoproof"/>
    <w:basedOn w:val="Carpredefinitoparagrafo"/>
    <w:rsid w:val="00F70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73412">
      <w:bodyDiv w:val="1"/>
      <w:marLeft w:val="0"/>
      <w:marRight w:val="0"/>
      <w:marTop w:val="0"/>
      <w:marBottom w:val="0"/>
      <w:divBdr>
        <w:top w:val="none" w:sz="0" w:space="0" w:color="auto"/>
        <w:left w:val="none" w:sz="0" w:space="0" w:color="auto"/>
        <w:bottom w:val="none" w:sz="0" w:space="0" w:color="auto"/>
        <w:right w:val="none" w:sz="0" w:space="0" w:color="auto"/>
      </w:divBdr>
      <w:divsChild>
        <w:div w:id="994990724">
          <w:marLeft w:val="0"/>
          <w:marRight w:val="0"/>
          <w:marTop w:val="0"/>
          <w:marBottom w:val="0"/>
          <w:divBdr>
            <w:top w:val="none" w:sz="0" w:space="0" w:color="auto"/>
            <w:left w:val="none" w:sz="0" w:space="0" w:color="auto"/>
            <w:bottom w:val="none" w:sz="0" w:space="0" w:color="auto"/>
            <w:right w:val="none" w:sz="0" w:space="0" w:color="auto"/>
          </w:divBdr>
        </w:div>
        <w:div w:id="1442527824">
          <w:marLeft w:val="0"/>
          <w:marRight w:val="0"/>
          <w:marTop w:val="0"/>
          <w:marBottom w:val="0"/>
          <w:divBdr>
            <w:top w:val="none" w:sz="0" w:space="0" w:color="auto"/>
            <w:left w:val="none" w:sz="0" w:space="0" w:color="auto"/>
            <w:bottom w:val="none" w:sz="0" w:space="0" w:color="auto"/>
            <w:right w:val="none" w:sz="0" w:space="0" w:color="auto"/>
          </w:divBdr>
          <w:divsChild>
            <w:div w:id="545066778">
              <w:marLeft w:val="0"/>
              <w:marRight w:val="0"/>
              <w:marTop w:val="0"/>
              <w:marBottom w:val="0"/>
              <w:divBdr>
                <w:top w:val="none" w:sz="0" w:space="0" w:color="auto"/>
                <w:left w:val="none" w:sz="0" w:space="0" w:color="auto"/>
                <w:bottom w:val="none" w:sz="0" w:space="0" w:color="auto"/>
                <w:right w:val="none" w:sz="0" w:space="0" w:color="auto"/>
              </w:divBdr>
              <w:divsChild>
                <w:div w:id="1521580038">
                  <w:marLeft w:val="0"/>
                  <w:marRight w:val="0"/>
                  <w:marTop w:val="0"/>
                  <w:marBottom w:val="0"/>
                  <w:divBdr>
                    <w:top w:val="none" w:sz="0" w:space="0" w:color="auto"/>
                    <w:left w:val="none" w:sz="0" w:space="0" w:color="auto"/>
                    <w:bottom w:val="none" w:sz="0" w:space="0" w:color="auto"/>
                    <w:right w:val="none" w:sz="0" w:space="0" w:color="auto"/>
                  </w:divBdr>
                  <w:divsChild>
                    <w:div w:id="91896395">
                      <w:marLeft w:val="0"/>
                      <w:marRight w:val="0"/>
                      <w:marTop w:val="0"/>
                      <w:marBottom w:val="0"/>
                      <w:divBdr>
                        <w:top w:val="none" w:sz="0" w:space="0" w:color="auto"/>
                        <w:left w:val="none" w:sz="0" w:space="0" w:color="auto"/>
                        <w:bottom w:val="none" w:sz="0" w:space="0" w:color="auto"/>
                        <w:right w:val="none" w:sz="0" w:space="0" w:color="auto"/>
                      </w:divBdr>
                      <w:divsChild>
                        <w:div w:id="356660413">
                          <w:marLeft w:val="0"/>
                          <w:marRight w:val="0"/>
                          <w:marTop w:val="0"/>
                          <w:marBottom w:val="900"/>
                          <w:divBdr>
                            <w:top w:val="none" w:sz="0" w:space="0" w:color="auto"/>
                            <w:left w:val="none" w:sz="0" w:space="0" w:color="auto"/>
                            <w:bottom w:val="none" w:sz="0" w:space="0" w:color="auto"/>
                            <w:right w:val="none" w:sz="0" w:space="0" w:color="auto"/>
                          </w:divBdr>
                        </w:div>
                        <w:div w:id="1647776232">
                          <w:marLeft w:val="0"/>
                          <w:marRight w:val="0"/>
                          <w:marTop w:val="0"/>
                          <w:marBottom w:val="0"/>
                          <w:divBdr>
                            <w:top w:val="none" w:sz="0" w:space="0" w:color="auto"/>
                            <w:left w:val="none" w:sz="0" w:space="0" w:color="auto"/>
                            <w:bottom w:val="none" w:sz="0" w:space="0" w:color="auto"/>
                            <w:right w:val="none" w:sz="0" w:space="0" w:color="auto"/>
                          </w:divBdr>
                          <w:divsChild>
                            <w:div w:id="16066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44806">
      <w:bodyDiv w:val="1"/>
      <w:marLeft w:val="0"/>
      <w:marRight w:val="0"/>
      <w:marTop w:val="0"/>
      <w:marBottom w:val="0"/>
      <w:divBdr>
        <w:top w:val="none" w:sz="0" w:space="0" w:color="auto"/>
        <w:left w:val="none" w:sz="0" w:space="0" w:color="auto"/>
        <w:bottom w:val="none" w:sz="0" w:space="0" w:color="auto"/>
        <w:right w:val="none" w:sz="0" w:space="0" w:color="auto"/>
      </w:divBdr>
    </w:div>
    <w:div w:id="1689871597">
      <w:bodyDiv w:val="1"/>
      <w:marLeft w:val="0"/>
      <w:marRight w:val="0"/>
      <w:marTop w:val="0"/>
      <w:marBottom w:val="0"/>
      <w:divBdr>
        <w:top w:val="none" w:sz="0" w:space="0" w:color="auto"/>
        <w:left w:val="none" w:sz="0" w:space="0" w:color="auto"/>
        <w:bottom w:val="none" w:sz="0" w:space="0" w:color="auto"/>
        <w:right w:val="none" w:sz="0" w:space="0" w:color="auto"/>
      </w:divBdr>
      <w:divsChild>
        <w:div w:id="766080512">
          <w:marLeft w:val="0"/>
          <w:marRight w:val="0"/>
          <w:marTop w:val="0"/>
          <w:marBottom w:val="0"/>
          <w:divBdr>
            <w:top w:val="none" w:sz="0" w:space="0" w:color="auto"/>
            <w:left w:val="none" w:sz="0" w:space="0" w:color="auto"/>
            <w:bottom w:val="none" w:sz="0" w:space="0" w:color="auto"/>
            <w:right w:val="none" w:sz="0" w:space="0" w:color="auto"/>
          </w:divBdr>
        </w:div>
        <w:div w:id="321203349">
          <w:marLeft w:val="0"/>
          <w:marRight w:val="0"/>
          <w:marTop w:val="0"/>
          <w:marBottom w:val="0"/>
          <w:divBdr>
            <w:top w:val="none" w:sz="0" w:space="0" w:color="auto"/>
            <w:left w:val="none" w:sz="0" w:space="0" w:color="auto"/>
            <w:bottom w:val="none" w:sz="0" w:space="0" w:color="auto"/>
            <w:right w:val="none" w:sz="0" w:space="0" w:color="auto"/>
          </w:divBdr>
          <w:divsChild>
            <w:div w:id="2117020862">
              <w:marLeft w:val="0"/>
              <w:marRight w:val="0"/>
              <w:marTop w:val="0"/>
              <w:marBottom w:val="0"/>
              <w:divBdr>
                <w:top w:val="none" w:sz="0" w:space="0" w:color="auto"/>
                <w:left w:val="none" w:sz="0" w:space="0" w:color="auto"/>
                <w:bottom w:val="none" w:sz="0" w:space="0" w:color="auto"/>
                <w:right w:val="none" w:sz="0" w:space="0" w:color="auto"/>
              </w:divBdr>
              <w:divsChild>
                <w:div w:id="1228564500">
                  <w:marLeft w:val="0"/>
                  <w:marRight w:val="0"/>
                  <w:marTop w:val="0"/>
                  <w:marBottom w:val="0"/>
                  <w:divBdr>
                    <w:top w:val="none" w:sz="0" w:space="0" w:color="auto"/>
                    <w:left w:val="none" w:sz="0" w:space="0" w:color="auto"/>
                    <w:bottom w:val="none" w:sz="0" w:space="0" w:color="auto"/>
                    <w:right w:val="none" w:sz="0" w:space="0" w:color="auto"/>
                  </w:divBdr>
                  <w:divsChild>
                    <w:div w:id="153692431">
                      <w:marLeft w:val="0"/>
                      <w:marRight w:val="0"/>
                      <w:marTop w:val="0"/>
                      <w:marBottom w:val="0"/>
                      <w:divBdr>
                        <w:top w:val="none" w:sz="0" w:space="0" w:color="auto"/>
                        <w:left w:val="none" w:sz="0" w:space="0" w:color="auto"/>
                        <w:bottom w:val="none" w:sz="0" w:space="0" w:color="auto"/>
                        <w:right w:val="none" w:sz="0" w:space="0" w:color="auto"/>
                      </w:divBdr>
                      <w:divsChild>
                        <w:div w:id="2126845029">
                          <w:marLeft w:val="0"/>
                          <w:marRight w:val="0"/>
                          <w:marTop w:val="0"/>
                          <w:marBottom w:val="900"/>
                          <w:divBdr>
                            <w:top w:val="none" w:sz="0" w:space="0" w:color="auto"/>
                            <w:left w:val="none" w:sz="0" w:space="0" w:color="auto"/>
                            <w:bottom w:val="none" w:sz="0" w:space="0" w:color="auto"/>
                            <w:right w:val="none" w:sz="0" w:space="0" w:color="auto"/>
                          </w:divBdr>
                        </w:div>
                        <w:div w:id="376052948">
                          <w:marLeft w:val="0"/>
                          <w:marRight w:val="0"/>
                          <w:marTop w:val="0"/>
                          <w:marBottom w:val="0"/>
                          <w:divBdr>
                            <w:top w:val="none" w:sz="0" w:space="0" w:color="auto"/>
                            <w:left w:val="none" w:sz="0" w:space="0" w:color="auto"/>
                            <w:bottom w:val="none" w:sz="0" w:space="0" w:color="auto"/>
                            <w:right w:val="none" w:sz="0" w:space="0" w:color="auto"/>
                          </w:divBdr>
                          <w:divsChild>
                            <w:div w:id="1900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837499">
      <w:bodyDiv w:val="1"/>
      <w:marLeft w:val="0"/>
      <w:marRight w:val="0"/>
      <w:marTop w:val="0"/>
      <w:marBottom w:val="0"/>
      <w:divBdr>
        <w:top w:val="none" w:sz="0" w:space="0" w:color="auto"/>
        <w:left w:val="none" w:sz="0" w:space="0" w:color="auto"/>
        <w:bottom w:val="none" w:sz="0" w:space="0" w:color="auto"/>
        <w:right w:val="none" w:sz="0" w:space="0" w:color="auto"/>
      </w:divBdr>
    </w:div>
    <w:div w:id="1936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C846C-0955-4507-B886-8A65DD1C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520</Words>
  <Characters>2969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17</cp:revision>
  <cp:lastPrinted>2025-11-20T08:24:00Z</cp:lastPrinted>
  <dcterms:created xsi:type="dcterms:W3CDTF">2026-02-05T10:07:00Z</dcterms:created>
  <dcterms:modified xsi:type="dcterms:W3CDTF">2026-02-18T12:20:00Z</dcterms:modified>
</cp:coreProperties>
</file>