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29BF5" w14:textId="34AE0F46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D87448">
        <w:rPr>
          <w:rFonts w:ascii="Arial" w:hAnsi="Arial" w:cs="Arial"/>
          <w:b/>
          <w:bCs/>
          <w:sz w:val="22"/>
          <w:szCs w:val="22"/>
          <w:u w:val="single"/>
        </w:rPr>
        <w:t>Comunicato stampa</w:t>
      </w:r>
    </w:p>
    <w:p w14:paraId="1F6D25F2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9C5B3A3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D87448">
        <w:rPr>
          <w:rFonts w:ascii="Arial" w:hAnsi="Arial" w:cs="Arial"/>
          <w:b/>
          <w:bCs/>
          <w:sz w:val="22"/>
          <w:szCs w:val="22"/>
        </w:rPr>
        <w:t>SOSTENIBILITÀ, DAI COMMERCIALISTI UN QUADERNO SULLA TASSONOMIA SOCIALE E LA GOVERNANCE PARTECIPATIVA</w:t>
      </w:r>
    </w:p>
    <w:p w14:paraId="1C0E5BF4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40893F71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D87448">
        <w:rPr>
          <w:rFonts w:ascii="Arial" w:hAnsi="Arial" w:cs="Arial"/>
          <w:b/>
          <w:bCs/>
          <w:sz w:val="22"/>
          <w:szCs w:val="22"/>
        </w:rPr>
        <w:t>L’elaborato costituisce un approfondimento su argomenti relativi al rapporto tra governance, finanza dell’impresa e sostenibilità</w:t>
      </w:r>
    </w:p>
    <w:p w14:paraId="1B594061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6C53B9F9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87448">
        <w:rPr>
          <w:rFonts w:ascii="Arial" w:hAnsi="Arial" w:cs="Arial"/>
          <w:sz w:val="22"/>
          <w:szCs w:val="22"/>
        </w:rPr>
        <w:t>Roma, 27 gennaio 2026 – “Social Taxonomy e fattore 'G'. Governance democratica e partecipativa” è il titolo di un Quaderno pubblicato oggi da Consiglio e Fondazione nazionali dei commercialisti. L’elaborato, realizzato dalla Commissione Governance e finanza presieduta da Paolo Vernero, la cui attività rientra nell’area di delega Sviluppo sostenibile coordinata dal consigliere nazionale Gian Luca Galletti, è un primo approfondimento su specifici argomenti inerenti al rapporto tra governance, finanza aziendale e sostenibilità.</w:t>
      </w:r>
    </w:p>
    <w:p w14:paraId="511BFC3A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6312832F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87448">
        <w:rPr>
          <w:rFonts w:ascii="Arial" w:hAnsi="Arial" w:cs="Arial"/>
          <w:sz w:val="22"/>
          <w:szCs w:val="22"/>
        </w:rPr>
        <w:t>Il lavoro tratta, in maniera semplice e specifica, la relazione tra tassonomia sociale e governance aziendale e propone alcune riflessioni su come la tassonomia sociale possa costituire un elemento di supporto al cambiamento positivo della governance aziendale e dei processi che ne determinano il funzionamento. Un focus è dedicato anche ad analizzare come la struttura della governance, anche attraverso meccanismi e strumenti partecipativi e democratici che ne consentono una certa peculiare esplicitazione, possa rappresentare un fattore per volgere verso gli obiettivi di una tassonomia sociale, nell’ambito della codificazione delle attività e degli investimenti aziendali in un sistema coerente di classificazione “ESG” che può essere ricondotto alle strategie sistemiche e aziendali volte alla sostenibilità economica e sociale.</w:t>
      </w:r>
    </w:p>
    <w:p w14:paraId="7FB4C3A0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585DDA15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87448">
        <w:rPr>
          <w:rFonts w:ascii="Arial" w:hAnsi="Arial" w:cs="Arial"/>
          <w:sz w:val="22"/>
          <w:szCs w:val="22"/>
        </w:rPr>
        <w:t>Nell’introduzione al Quaderno si sottolinea come “negli ultimi cinque anni lo scenario della sustainability economics, con particolare riguardo allo sviluppo normativo e alla digitalizzazione dell’operatività aziendale, si è contraddistinto per una accentuata fluidità. I sustainability issue risultano trasversali a molte funzioni organizzative e gestionali aziendali; perciò, gli aspetti normativi europei e nazionali, i fenomeni ESG relativi al risk management e al risk assessment e le metodologie per la valutazione dei processi di sustainability management nell’economia e nella finanza dell’azienda e delle controparti si rivelano particolarmente delicate e complesse”.</w:t>
      </w:r>
    </w:p>
    <w:p w14:paraId="2062262A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28F027A1" w14:textId="23842A94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87448">
        <w:rPr>
          <w:rFonts w:ascii="Arial" w:hAnsi="Arial" w:cs="Arial"/>
          <w:sz w:val="22"/>
          <w:szCs w:val="22"/>
        </w:rPr>
        <w:t>Per questi motivi, nel 2023 il Consiglio nazionale dei commercialisti ha istituito la Commissione “Governance e finanza” nell’ambito dell’area di delega Sviluppo sostenibile, col compito di sviluppare conoscenze teoriche e tecniche per l’esercizio dell’attività professionale con riguardo alla governance, alla finanza, alla disclosure e alla gestione dei rischi nel contesto della sostenibilità aziendale e sistemica.</w:t>
      </w:r>
    </w:p>
    <w:p w14:paraId="583F9A7C" w14:textId="54C1C6B0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87448">
        <w:rPr>
          <w:rFonts w:ascii="Arial" w:hAnsi="Arial" w:cs="Arial"/>
          <w:sz w:val="22"/>
          <w:szCs w:val="22"/>
        </w:rPr>
        <w:t xml:space="preserve">  </w:t>
      </w:r>
    </w:p>
    <w:p w14:paraId="1B165CEB" w14:textId="77777777" w:rsid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87448">
        <w:rPr>
          <w:rFonts w:ascii="Arial" w:hAnsi="Arial" w:cs="Arial"/>
          <w:sz w:val="22"/>
          <w:szCs w:val="22"/>
        </w:rPr>
        <w:t>La Commissione ha individuato nella sostenibilità economica e strategica un elemento cruciale nel consolidamento della continuità aziendale e nella valutazione dell’impresa e ha perciò ritenuto fondamentale approfondire la relazione tra i sustainability issue e la governance delle aziende, nell’ottica di ripensare e migliorare gli assetti organizzativi amministrativi e contabili e potenziare le connessioni dell’azienda col sistema bancario e creditizio.</w:t>
      </w:r>
    </w:p>
    <w:p w14:paraId="04405FF6" w14:textId="77777777" w:rsidR="00D8744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</w:p>
    <w:p w14:paraId="778DA509" w14:textId="0EED4274" w:rsidR="005B0CC8" w:rsidRPr="00D87448" w:rsidRDefault="00D87448" w:rsidP="00D87448">
      <w:pPr>
        <w:pStyle w:val="atex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87448">
        <w:rPr>
          <w:rFonts w:ascii="Arial" w:hAnsi="Arial" w:cs="Arial"/>
          <w:sz w:val="22"/>
          <w:szCs w:val="22"/>
        </w:rPr>
        <w:t>In seguito a questa attività, a marzo 2024, il Consiglio nazionale ha pubblicato il documento “Sostenibilità, governance e finanza dell’impresa. Impatto degli ESG con particolare riferimento alle PMI” e, ad aprile 2025, ha poi approvato la seconda edizione di questo documento, “Sostenibilità, governance e finanza dell’impresa – Evoluzione degli scenari. Business continuity, nuove opportunità, creazione di valore: oltre la compliance”. Nella prospettiva di affinare l’analisi e la ricerca in questi ambiti, la Commissione sta portando avanti un'attività di ulteriore approfondimento scientifico che potrà tradursi in alcune brevi monografie con una funzione di complemento rispetto a specifici argomenti trasversalmente o marginalmente trattati nel documento “master”, “Sostenibilità, governance e finanza dell’impresa”.</w:t>
      </w:r>
      <w:r>
        <w:rPr>
          <w:rFonts w:ascii="Arial" w:hAnsi="Arial" w:cs="Arial"/>
          <w:sz w:val="22"/>
          <w:szCs w:val="22"/>
        </w:rPr>
        <w:t xml:space="preserve"> </w:t>
      </w:r>
      <w:r w:rsidRPr="00D87448">
        <w:rPr>
          <w:rFonts w:ascii="Arial" w:hAnsi="Arial" w:cs="Arial"/>
          <w:sz w:val="22"/>
          <w:szCs w:val="22"/>
        </w:rPr>
        <w:t>Il Quaderno è il primo risultato di questa iniziativa.</w:t>
      </w:r>
    </w:p>
    <w:sectPr w:rsidR="005B0CC8" w:rsidRPr="00D8744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20DF1" w14:textId="77777777" w:rsidR="003D3274" w:rsidRDefault="003D3274" w:rsidP="00A57D38">
      <w:pPr>
        <w:spacing w:after="0" w:line="240" w:lineRule="auto"/>
      </w:pPr>
      <w:r>
        <w:separator/>
      </w:r>
    </w:p>
  </w:endnote>
  <w:endnote w:type="continuationSeparator" w:id="0">
    <w:p w14:paraId="3A7FF0DE" w14:textId="77777777" w:rsidR="003D3274" w:rsidRDefault="003D3274" w:rsidP="00A57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CAE8C" w14:textId="77777777" w:rsidR="003D3274" w:rsidRDefault="003D3274" w:rsidP="00A57D38">
      <w:pPr>
        <w:spacing w:after="0" w:line="240" w:lineRule="auto"/>
      </w:pPr>
      <w:r>
        <w:separator/>
      </w:r>
    </w:p>
  </w:footnote>
  <w:footnote w:type="continuationSeparator" w:id="0">
    <w:p w14:paraId="5E062DD0" w14:textId="77777777" w:rsidR="003D3274" w:rsidRDefault="003D3274" w:rsidP="00A57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10A1" w14:textId="54DE1EA9" w:rsidR="00A57D38" w:rsidRDefault="00A57D38" w:rsidP="00A57D38">
    <w:pPr>
      <w:pStyle w:val="Intestazione"/>
      <w:jc w:val="center"/>
    </w:pPr>
    <w:r w:rsidRPr="00F6138D">
      <w:rPr>
        <w:noProof/>
        <w:lang w:eastAsia="it-IT"/>
      </w:rPr>
      <w:drawing>
        <wp:inline distT="0" distB="0" distL="0" distR="0" wp14:anchorId="45169683" wp14:editId="3070078B">
          <wp:extent cx="2314575" cy="781050"/>
          <wp:effectExtent l="0" t="0" r="0" b="0"/>
          <wp:docPr id="1109192327" name="Immagine 1" descr="CNDC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CNDC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8E961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BA5B3F"/>
    <w:multiLevelType w:val="hybridMultilevel"/>
    <w:tmpl w:val="B6B0FA00"/>
    <w:lvl w:ilvl="0" w:tplc="34027854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16C44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7000486"/>
    <w:multiLevelType w:val="hybridMultilevel"/>
    <w:tmpl w:val="FFFFFFFF"/>
    <w:lvl w:ilvl="0" w:tplc="FFFFFFFF">
      <w:start w:val="1"/>
      <w:numFmt w:val="lowerLetter"/>
      <w:lvlText w:val="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353922285">
    <w:abstractNumId w:val="2"/>
  </w:num>
  <w:num w:numId="2" w16cid:durableId="47654393">
    <w:abstractNumId w:val="3"/>
  </w:num>
  <w:num w:numId="3" w16cid:durableId="149905896">
    <w:abstractNumId w:val="0"/>
  </w:num>
  <w:num w:numId="4" w16cid:durableId="1399980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20"/>
    <w:rsid w:val="000130DF"/>
    <w:rsid w:val="00017910"/>
    <w:rsid w:val="00030943"/>
    <w:rsid w:val="00061C16"/>
    <w:rsid w:val="00062DEE"/>
    <w:rsid w:val="000A3D82"/>
    <w:rsid w:val="000B02CC"/>
    <w:rsid w:val="000D5879"/>
    <w:rsid w:val="000F7086"/>
    <w:rsid w:val="00165354"/>
    <w:rsid w:val="001B1AFB"/>
    <w:rsid w:val="00204A50"/>
    <w:rsid w:val="00227893"/>
    <w:rsid w:val="002328AC"/>
    <w:rsid w:val="00234E76"/>
    <w:rsid w:val="0024138A"/>
    <w:rsid w:val="00255883"/>
    <w:rsid w:val="002B1079"/>
    <w:rsid w:val="002D511F"/>
    <w:rsid w:val="00300C69"/>
    <w:rsid w:val="003259A5"/>
    <w:rsid w:val="003507F7"/>
    <w:rsid w:val="003739DF"/>
    <w:rsid w:val="00381B84"/>
    <w:rsid w:val="003A4F3F"/>
    <w:rsid w:val="003B5D81"/>
    <w:rsid w:val="003B6B20"/>
    <w:rsid w:val="003C6E20"/>
    <w:rsid w:val="003D3274"/>
    <w:rsid w:val="00432EC5"/>
    <w:rsid w:val="00437544"/>
    <w:rsid w:val="004E2BA6"/>
    <w:rsid w:val="00522640"/>
    <w:rsid w:val="005315AC"/>
    <w:rsid w:val="005416BD"/>
    <w:rsid w:val="00543A7A"/>
    <w:rsid w:val="0056307D"/>
    <w:rsid w:val="00592D37"/>
    <w:rsid w:val="005B0CC8"/>
    <w:rsid w:val="005C0771"/>
    <w:rsid w:val="00600B5B"/>
    <w:rsid w:val="00607179"/>
    <w:rsid w:val="0065637E"/>
    <w:rsid w:val="00677E20"/>
    <w:rsid w:val="006C2AEE"/>
    <w:rsid w:val="00700600"/>
    <w:rsid w:val="00713B6B"/>
    <w:rsid w:val="00727620"/>
    <w:rsid w:val="00830EF3"/>
    <w:rsid w:val="008C5196"/>
    <w:rsid w:val="00901225"/>
    <w:rsid w:val="009333F1"/>
    <w:rsid w:val="00933F3A"/>
    <w:rsid w:val="00987E6C"/>
    <w:rsid w:val="009B2452"/>
    <w:rsid w:val="009B3602"/>
    <w:rsid w:val="009C1109"/>
    <w:rsid w:val="009D18F4"/>
    <w:rsid w:val="009D30A8"/>
    <w:rsid w:val="009E0CD9"/>
    <w:rsid w:val="00A1045D"/>
    <w:rsid w:val="00A1160C"/>
    <w:rsid w:val="00A2019D"/>
    <w:rsid w:val="00A57D38"/>
    <w:rsid w:val="00A62424"/>
    <w:rsid w:val="00A64533"/>
    <w:rsid w:val="00A70B1B"/>
    <w:rsid w:val="00A9501C"/>
    <w:rsid w:val="00AF33FB"/>
    <w:rsid w:val="00AF6075"/>
    <w:rsid w:val="00B51AF3"/>
    <w:rsid w:val="00B55508"/>
    <w:rsid w:val="00BE4889"/>
    <w:rsid w:val="00BF587A"/>
    <w:rsid w:val="00C33BF2"/>
    <w:rsid w:val="00C33EDC"/>
    <w:rsid w:val="00C61F00"/>
    <w:rsid w:val="00C7553E"/>
    <w:rsid w:val="00C97980"/>
    <w:rsid w:val="00CC633C"/>
    <w:rsid w:val="00CE4415"/>
    <w:rsid w:val="00CE5CCD"/>
    <w:rsid w:val="00D26D95"/>
    <w:rsid w:val="00D31C9C"/>
    <w:rsid w:val="00D4602D"/>
    <w:rsid w:val="00D553F7"/>
    <w:rsid w:val="00D87448"/>
    <w:rsid w:val="00DE44CE"/>
    <w:rsid w:val="00DF605A"/>
    <w:rsid w:val="00E14B67"/>
    <w:rsid w:val="00E67397"/>
    <w:rsid w:val="00EA565A"/>
    <w:rsid w:val="00EC32EC"/>
    <w:rsid w:val="00ED7DD3"/>
    <w:rsid w:val="00ED7FAF"/>
    <w:rsid w:val="00EF56BE"/>
    <w:rsid w:val="00F1389A"/>
    <w:rsid w:val="00F23979"/>
    <w:rsid w:val="00F27538"/>
    <w:rsid w:val="00F6225E"/>
    <w:rsid w:val="00F75D1F"/>
    <w:rsid w:val="00FB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CA505"/>
  <w15:chartTrackingRefBased/>
  <w15:docId w15:val="{918E96B5-BADA-42AC-8590-38402975C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6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6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6B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6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6B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6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6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6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6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6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6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6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6B2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6B2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6B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6B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6B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6B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6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6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6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6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6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6B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6B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6B2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6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6B2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6B20"/>
    <w:rPr>
      <w:b/>
      <w:bCs/>
      <w:smallCaps/>
      <w:color w:val="0F4761" w:themeColor="accent1" w:themeShade="BF"/>
      <w:spacing w:val="5"/>
    </w:rPr>
  </w:style>
  <w:style w:type="paragraph" w:customStyle="1" w:styleId="atext">
    <w:name w:val="atext"/>
    <w:basedOn w:val="Normale"/>
    <w:rsid w:val="003B6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A57D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7D38"/>
  </w:style>
  <w:style w:type="paragraph" w:styleId="Pidipagina">
    <w:name w:val="footer"/>
    <w:basedOn w:val="Normale"/>
    <w:link w:val="PidipaginaCarattere"/>
    <w:uiPriority w:val="99"/>
    <w:unhideWhenUsed/>
    <w:rsid w:val="00A57D3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7D38"/>
  </w:style>
  <w:style w:type="paragraph" w:styleId="NormaleWeb">
    <w:name w:val="Normal (Web)"/>
    <w:basedOn w:val="Normale"/>
    <w:uiPriority w:val="99"/>
    <w:unhideWhenUsed/>
    <w:rsid w:val="00CE4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CE4415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6C2AEE"/>
    <w:rPr>
      <w:color w:val="0000FF"/>
      <w:u w:val="single"/>
    </w:rPr>
  </w:style>
  <w:style w:type="paragraph" w:styleId="Revisione">
    <w:name w:val="Revision"/>
    <w:hidden/>
    <w:uiPriority w:val="99"/>
    <w:semiHidden/>
    <w:rsid w:val="00A1045D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9B360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B3602"/>
    <w:rPr>
      <w:color w:val="96607D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5B0CC8"/>
    <w:pPr>
      <w:spacing w:after="0" w:line="240" w:lineRule="auto"/>
    </w:pPr>
    <w:rPr>
      <w:rFonts w:ascii="Calibri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5B0CC8"/>
    <w:rPr>
      <w:rFonts w:ascii="Calibri" w:hAnsi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B0C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0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6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58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660413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77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664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74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2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6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9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845029">
                          <w:marLeft w:val="0"/>
                          <w:marRight w:val="0"/>
                          <w:marTop w:val="0"/>
                          <w:marBottom w:val="9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605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705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8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DE2F8-84A8-46C9-90CA-C39089A6B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Mastrogiacomo Tiziana</cp:lastModifiedBy>
  <cp:revision>6</cp:revision>
  <dcterms:created xsi:type="dcterms:W3CDTF">2026-01-23T12:00:00Z</dcterms:created>
  <dcterms:modified xsi:type="dcterms:W3CDTF">2026-01-27T12:05:00Z</dcterms:modified>
</cp:coreProperties>
</file>