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C445" w14:textId="77777777" w:rsidR="00135FBD" w:rsidRDefault="00135FBD" w:rsidP="00C2791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1F4393F6" w14:textId="29F017B3" w:rsidR="00F51483" w:rsidRDefault="00F51483" w:rsidP="00C2791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COMUNICATO STAMPA</w:t>
      </w:r>
    </w:p>
    <w:p w14:paraId="62576D05" w14:textId="77777777" w:rsidR="00F51483" w:rsidRPr="00F51483" w:rsidRDefault="00F51483" w:rsidP="00C2791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22B8A696" w14:textId="4DDDEDFA" w:rsidR="00F51483" w:rsidRDefault="00DE1A3C" w:rsidP="00C2791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AMMINISTRATORE GIUDIZIARIO, DAI COMMERCIALISTI LE LINEE GUIDA SUGLI ADEMPIMENTI FIACALI </w:t>
      </w:r>
    </w:p>
    <w:p w14:paraId="0BA9A5B9" w14:textId="77777777" w:rsidR="00DB3F6B" w:rsidRDefault="00DB3F6B" w:rsidP="00C2791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4DCAA007" w14:textId="4ED61730" w:rsidR="00DE1A3C" w:rsidRPr="00DB3F6B" w:rsidRDefault="00DE1A3C" w:rsidP="00C2791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DB3F6B">
        <w:rPr>
          <w:rFonts w:ascii="Arial" w:hAnsi="Arial" w:cs="Arial"/>
          <w:b/>
          <w:bCs/>
        </w:rPr>
        <w:t xml:space="preserve">Un documento </w:t>
      </w:r>
      <w:r w:rsidR="00DB3F6B">
        <w:rPr>
          <w:rFonts w:ascii="Arial" w:hAnsi="Arial" w:cs="Arial"/>
          <w:b/>
          <w:bCs/>
        </w:rPr>
        <w:t xml:space="preserve">del Consiglio e della Fondazione nazionali della categoria </w:t>
      </w:r>
      <w:r w:rsidRPr="00DB3F6B">
        <w:rPr>
          <w:rFonts w:ascii="Arial" w:hAnsi="Arial" w:cs="Arial"/>
          <w:b/>
          <w:bCs/>
          <w:color w:val="262626" w:themeColor="text1" w:themeTint="D9"/>
        </w:rPr>
        <w:t>concepit</w:t>
      </w:r>
      <w:r w:rsidR="00DB3F6B" w:rsidRPr="00DB3F6B">
        <w:rPr>
          <w:rFonts w:ascii="Arial" w:hAnsi="Arial" w:cs="Arial"/>
          <w:b/>
          <w:bCs/>
          <w:color w:val="262626" w:themeColor="text1" w:themeTint="D9"/>
        </w:rPr>
        <w:t>o</w:t>
      </w:r>
      <w:r w:rsidRPr="00DB3F6B">
        <w:rPr>
          <w:rFonts w:ascii="Arial" w:hAnsi="Arial" w:cs="Arial"/>
          <w:b/>
          <w:bCs/>
          <w:color w:val="262626" w:themeColor="text1" w:themeTint="D9"/>
        </w:rPr>
        <w:t xml:space="preserve"> quale strumento di supporto operativo a</w:t>
      </w:r>
      <w:r w:rsidR="00DB3F6B" w:rsidRPr="00DB3F6B">
        <w:rPr>
          <w:rFonts w:ascii="Arial" w:hAnsi="Arial" w:cs="Arial"/>
          <w:b/>
          <w:bCs/>
          <w:color w:val="262626" w:themeColor="text1" w:themeTint="D9"/>
        </w:rPr>
        <w:t>i</w:t>
      </w:r>
      <w:r w:rsidRPr="00DB3F6B">
        <w:rPr>
          <w:rFonts w:ascii="Arial" w:hAnsi="Arial" w:cs="Arial"/>
          <w:b/>
          <w:bCs/>
          <w:color w:val="262626" w:themeColor="text1" w:themeTint="D9"/>
        </w:rPr>
        <w:t xml:space="preserve"> professionist</w:t>
      </w:r>
      <w:r w:rsidR="00DB3F6B" w:rsidRPr="00DB3F6B">
        <w:rPr>
          <w:rFonts w:ascii="Arial" w:hAnsi="Arial" w:cs="Arial"/>
          <w:b/>
          <w:bCs/>
          <w:color w:val="262626" w:themeColor="text1" w:themeTint="D9"/>
        </w:rPr>
        <w:t>i</w:t>
      </w:r>
      <w:r w:rsidRPr="00DB3F6B">
        <w:rPr>
          <w:rFonts w:ascii="Arial" w:hAnsi="Arial" w:cs="Arial"/>
          <w:b/>
          <w:bCs/>
          <w:color w:val="262626" w:themeColor="text1" w:themeTint="D9"/>
        </w:rPr>
        <w:t xml:space="preserve"> </w:t>
      </w:r>
    </w:p>
    <w:p w14:paraId="3FBE951C" w14:textId="77777777" w:rsidR="00F51483" w:rsidRPr="00DB3F6B" w:rsidRDefault="00F51483" w:rsidP="00C2791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7CE0FC7A" w14:textId="77777777" w:rsidR="00C27914" w:rsidRDefault="005920D6" w:rsidP="00C27914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DE1A3C">
        <w:rPr>
          <w:rFonts w:ascii="Arial" w:hAnsi="Arial" w:cs="Arial"/>
          <w:i/>
          <w:iCs/>
        </w:rPr>
        <w:t>Roma, 20 gennaio 2206</w:t>
      </w:r>
      <w:r w:rsidRPr="00DE1A3C">
        <w:rPr>
          <w:rFonts w:ascii="Arial" w:hAnsi="Arial" w:cs="Arial"/>
        </w:rPr>
        <w:t xml:space="preserve"> – “</w:t>
      </w:r>
      <w:r w:rsidRPr="00DE1A3C">
        <w:rPr>
          <w:rFonts w:ascii="Arial" w:hAnsi="Arial" w:cs="Arial"/>
          <w:b/>
          <w:bCs/>
        </w:rPr>
        <w:t>Linee guida in materia di adempimenti fiscali dell’amministratore giudiziario</w:t>
      </w:r>
      <w:r w:rsidRPr="00DE1A3C">
        <w:rPr>
          <w:rFonts w:ascii="Arial" w:hAnsi="Arial" w:cs="Arial"/>
        </w:rPr>
        <w:t>” è il titolo del documento pubblicato oggi dal Consiglio e dalla Fondazione nazionali dei commercialisti. Il documento, a</w:t>
      </w:r>
      <w:r w:rsidRPr="00DE1A3C">
        <w:rPr>
          <w:rFonts w:ascii="Arial" w:hAnsi="Arial" w:cs="Arial"/>
          <w:spacing w:val="-4"/>
        </w:rPr>
        <w:t xml:space="preserve"> cura della </w:t>
      </w:r>
      <w:bookmarkStart w:id="0" w:name="_Hlk132409553"/>
      <w:r w:rsidRPr="00DE1A3C">
        <w:rPr>
          <w:rFonts w:ascii="Arial" w:hAnsi="Arial" w:cs="Arial"/>
          <w:spacing w:val="-4"/>
        </w:rPr>
        <w:t>Commissione di studio “Adempimenti fiscali dell’amministratore giudiziario”</w:t>
      </w:r>
      <w:r w:rsidR="00C27914">
        <w:rPr>
          <w:rFonts w:ascii="Arial" w:hAnsi="Arial" w:cs="Arial"/>
          <w:spacing w:val="-4"/>
        </w:rPr>
        <w:t>, r</w:t>
      </w:r>
      <w:r w:rsidRPr="00DE1A3C">
        <w:rPr>
          <w:rFonts w:ascii="Arial" w:hAnsi="Arial" w:cs="Arial"/>
          <w:spacing w:val="-4"/>
        </w:rPr>
        <w:t xml:space="preserve">ientra nell’attività dell’area </w:t>
      </w:r>
      <w:bookmarkEnd w:id="0"/>
      <w:r w:rsidRPr="00DE1A3C">
        <w:rPr>
          <w:rFonts w:ascii="Arial" w:hAnsi="Arial" w:cs="Arial"/>
        </w:rPr>
        <w:t>“Funzioni giudiziarie e ADR”, alla quale è delegat</w:t>
      </w:r>
      <w:r w:rsidR="00C27914">
        <w:rPr>
          <w:rFonts w:ascii="Arial" w:hAnsi="Arial" w:cs="Arial"/>
        </w:rPr>
        <w:t>o</w:t>
      </w:r>
      <w:r w:rsidRPr="00DE1A3C">
        <w:rPr>
          <w:rFonts w:ascii="Arial" w:hAnsi="Arial" w:cs="Arial"/>
        </w:rPr>
        <w:t xml:space="preserve"> il segretario nazionale </w:t>
      </w:r>
      <w:r w:rsidRPr="00DE1A3C">
        <w:rPr>
          <w:rFonts w:ascii="Arial" w:hAnsi="Arial" w:cs="Arial"/>
          <w:b/>
          <w:bCs/>
        </w:rPr>
        <w:t>Giovanna Greco</w:t>
      </w:r>
      <w:r w:rsidRPr="00DE1A3C">
        <w:rPr>
          <w:rFonts w:ascii="Arial" w:hAnsi="Arial" w:cs="Arial"/>
        </w:rPr>
        <w:t>.</w:t>
      </w:r>
    </w:p>
    <w:p w14:paraId="46165C76" w14:textId="77777777" w:rsidR="00C27914" w:rsidRDefault="00C27914" w:rsidP="00C2791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12AD8EB" w14:textId="62E5E425" w:rsidR="005920D6" w:rsidRDefault="005920D6" w:rsidP="00C27914">
      <w:pPr>
        <w:widowControl w:val="0"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 w:rsidRPr="00DE1A3C">
        <w:rPr>
          <w:rFonts w:ascii="Arial" w:hAnsi="Arial" w:cs="Arial"/>
          <w:color w:val="262626" w:themeColor="text1" w:themeTint="D9"/>
        </w:rPr>
        <w:t xml:space="preserve">La pubblicazione è stata concepita quale </w:t>
      </w:r>
      <w:r w:rsidRPr="00DE1A3C">
        <w:rPr>
          <w:rFonts w:ascii="Arial" w:hAnsi="Arial" w:cs="Arial"/>
          <w:b/>
          <w:bCs/>
          <w:color w:val="262626" w:themeColor="text1" w:themeTint="D9"/>
        </w:rPr>
        <w:t>strumento di supporto operativo</w:t>
      </w:r>
      <w:r w:rsidRPr="00DE1A3C">
        <w:rPr>
          <w:rFonts w:ascii="Arial" w:hAnsi="Arial" w:cs="Arial"/>
          <w:color w:val="262626" w:themeColor="text1" w:themeTint="D9"/>
        </w:rPr>
        <w:t xml:space="preserve"> al professionista chiamato a svolgere il ruolo di amministratore giudiziario (o di consulente dell’amministrazione giudiziaria) nel delicato compito di </w:t>
      </w:r>
      <w:r w:rsidRPr="00DE1A3C">
        <w:rPr>
          <w:rFonts w:ascii="Arial" w:hAnsi="Arial" w:cs="Arial"/>
          <w:b/>
          <w:bCs/>
          <w:color w:val="262626" w:themeColor="text1" w:themeTint="D9"/>
        </w:rPr>
        <w:t>gestire compiutamente e correttamente</w:t>
      </w:r>
      <w:r w:rsidRPr="00DE1A3C">
        <w:rPr>
          <w:rFonts w:ascii="Arial" w:hAnsi="Arial" w:cs="Arial"/>
          <w:color w:val="262626" w:themeColor="text1" w:themeTint="D9"/>
        </w:rPr>
        <w:t xml:space="preserve"> i beni attinti da misura anche sotto il profilo fiscale.</w:t>
      </w:r>
      <w:r w:rsidR="009454E3" w:rsidRPr="00DE1A3C">
        <w:rPr>
          <w:rFonts w:ascii="Arial" w:hAnsi="Arial" w:cs="Arial"/>
          <w:color w:val="262626" w:themeColor="text1" w:themeTint="D9"/>
        </w:rPr>
        <w:t xml:space="preserve"> </w:t>
      </w:r>
      <w:r w:rsidRPr="00DE1A3C">
        <w:rPr>
          <w:rFonts w:ascii="Arial" w:hAnsi="Arial" w:cs="Arial"/>
          <w:color w:val="262626" w:themeColor="text1" w:themeTint="D9"/>
        </w:rPr>
        <w:t xml:space="preserve">L’ufficio dell’amministratore giudiziario rappresenta una funzione di </w:t>
      </w:r>
      <w:r w:rsidRPr="00DE1A3C">
        <w:rPr>
          <w:rFonts w:ascii="Arial" w:hAnsi="Arial" w:cs="Arial"/>
          <w:b/>
          <w:bCs/>
          <w:color w:val="262626" w:themeColor="text1" w:themeTint="D9"/>
        </w:rPr>
        <w:t>particolare complessità e responsabilità</w:t>
      </w:r>
      <w:r w:rsidRPr="00DE1A3C">
        <w:rPr>
          <w:rFonts w:ascii="Arial" w:hAnsi="Arial" w:cs="Arial"/>
          <w:color w:val="262626" w:themeColor="text1" w:themeTint="D9"/>
        </w:rPr>
        <w:t xml:space="preserve"> nell’ambito delle </w:t>
      </w:r>
      <w:r w:rsidRPr="00DE1A3C">
        <w:rPr>
          <w:rFonts w:ascii="Arial" w:hAnsi="Arial" w:cs="Arial"/>
          <w:b/>
          <w:bCs/>
          <w:color w:val="262626" w:themeColor="text1" w:themeTint="D9"/>
        </w:rPr>
        <w:t>misure ablative penali</w:t>
      </w:r>
      <w:r w:rsidRPr="00DE1A3C">
        <w:rPr>
          <w:rFonts w:ascii="Arial" w:hAnsi="Arial" w:cs="Arial"/>
          <w:color w:val="262626" w:themeColor="text1" w:themeTint="D9"/>
        </w:rPr>
        <w:t xml:space="preserve"> e di </w:t>
      </w:r>
      <w:r w:rsidRPr="00DE1A3C">
        <w:rPr>
          <w:rFonts w:ascii="Arial" w:hAnsi="Arial" w:cs="Arial"/>
          <w:b/>
          <w:bCs/>
          <w:color w:val="262626" w:themeColor="text1" w:themeTint="D9"/>
        </w:rPr>
        <w:t>prevenzione</w:t>
      </w:r>
      <w:r w:rsidRPr="00DE1A3C">
        <w:rPr>
          <w:rFonts w:ascii="Arial" w:hAnsi="Arial" w:cs="Arial"/>
          <w:color w:val="262626" w:themeColor="text1" w:themeTint="D9"/>
        </w:rPr>
        <w:t xml:space="preserve"> (sequestro e confisca). L’amministratore giudiziario è chiamato a gestire i beni sottoposti a provvedimento ablativo secondo </w:t>
      </w:r>
      <w:r w:rsidRPr="00DE1A3C">
        <w:rPr>
          <w:rFonts w:ascii="Arial" w:hAnsi="Arial" w:cs="Arial"/>
          <w:b/>
          <w:bCs/>
          <w:color w:val="262626" w:themeColor="text1" w:themeTint="D9"/>
        </w:rPr>
        <w:t>precise procedure</w:t>
      </w:r>
      <w:r w:rsidRPr="00DE1A3C">
        <w:rPr>
          <w:rFonts w:ascii="Arial" w:hAnsi="Arial" w:cs="Arial"/>
          <w:color w:val="262626" w:themeColor="text1" w:themeTint="D9"/>
        </w:rPr>
        <w:t xml:space="preserve"> e con obblighi di </w:t>
      </w:r>
      <w:r w:rsidRPr="00DE1A3C">
        <w:rPr>
          <w:rFonts w:ascii="Arial" w:hAnsi="Arial" w:cs="Arial"/>
          <w:b/>
          <w:bCs/>
          <w:color w:val="262626" w:themeColor="text1" w:themeTint="D9"/>
        </w:rPr>
        <w:t>rendicontazione dettagliata</w:t>
      </w:r>
      <w:r w:rsidRPr="00DE1A3C">
        <w:rPr>
          <w:rFonts w:ascii="Arial" w:hAnsi="Arial" w:cs="Arial"/>
          <w:color w:val="262626" w:themeColor="text1" w:themeTint="D9"/>
        </w:rPr>
        <w:t>, dovendo operare sotto la direzione del giudice delegato e nel rispetto di un articolato quadro normativo.</w:t>
      </w:r>
    </w:p>
    <w:p w14:paraId="2B4CE627" w14:textId="77777777" w:rsidR="00C27914" w:rsidRPr="00DE1A3C" w:rsidRDefault="00C27914" w:rsidP="00C27914">
      <w:pPr>
        <w:widowControl w:val="0"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14:paraId="06C6B0E0" w14:textId="0B666176" w:rsidR="009454E3" w:rsidRDefault="005920D6" w:rsidP="00C27914">
      <w:pPr>
        <w:widowControl w:val="0"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 w:rsidRPr="00DE1A3C">
        <w:rPr>
          <w:rFonts w:ascii="Arial" w:hAnsi="Arial" w:cs="Arial"/>
        </w:rPr>
        <w:t>Nell’introduzione al documento, i commercialisti sottolineano come</w:t>
      </w:r>
      <w:r w:rsidR="00C27914">
        <w:rPr>
          <w:rFonts w:ascii="Arial" w:hAnsi="Arial" w:cs="Arial"/>
        </w:rPr>
        <w:t>,</w:t>
      </w:r>
      <w:r w:rsidRPr="00DE1A3C">
        <w:rPr>
          <w:rFonts w:ascii="Arial" w:hAnsi="Arial" w:cs="Arial"/>
        </w:rPr>
        <w:t xml:space="preserve"> </w:t>
      </w:r>
      <w:r w:rsidRPr="00DE1A3C">
        <w:rPr>
          <w:rFonts w:ascii="Arial" w:hAnsi="Arial" w:cs="Arial"/>
          <w:color w:val="262626" w:themeColor="text1" w:themeTint="D9"/>
        </w:rPr>
        <w:t xml:space="preserve">“tra le questioni più delicate che l’amministratore giudiziario si trova ad affrontare, quella fiscale ha storicamente rappresentato uno degli aspetti più problematici, caratterizzata da </w:t>
      </w:r>
      <w:r w:rsidRPr="00DE1A3C">
        <w:rPr>
          <w:rFonts w:ascii="Arial" w:hAnsi="Arial" w:cs="Arial"/>
          <w:b/>
          <w:bCs/>
          <w:color w:val="262626" w:themeColor="text1" w:themeTint="D9"/>
        </w:rPr>
        <w:t>significative incertezze interpretative e applicative</w:t>
      </w:r>
      <w:r w:rsidRPr="00DE1A3C">
        <w:rPr>
          <w:rFonts w:ascii="Arial" w:hAnsi="Arial" w:cs="Arial"/>
          <w:color w:val="262626" w:themeColor="text1" w:themeTint="D9"/>
        </w:rPr>
        <w:t xml:space="preserve"> sia prima che dopo l’intervento organico del d.lgs. n. 159/2011 (Codice Antimafia – di seguito per brevità CAM). La gestione fiscale dei beni sequestrati e confiscati si presentava, infatti, </w:t>
      </w:r>
      <w:r w:rsidRPr="00DE1A3C">
        <w:rPr>
          <w:rFonts w:ascii="Arial" w:hAnsi="Arial" w:cs="Arial"/>
          <w:b/>
          <w:bCs/>
          <w:color w:val="262626" w:themeColor="text1" w:themeTint="D9"/>
        </w:rPr>
        <w:t>particolarmente complessa</w:t>
      </w:r>
      <w:r w:rsidR="00DE1A3C" w:rsidRPr="00DE1A3C">
        <w:rPr>
          <w:rFonts w:ascii="Arial" w:hAnsi="Arial" w:cs="Arial"/>
          <w:b/>
          <w:bCs/>
          <w:color w:val="262626" w:themeColor="text1" w:themeTint="D9"/>
        </w:rPr>
        <w:t>”</w:t>
      </w:r>
      <w:r w:rsidR="009454E3" w:rsidRPr="00DE1A3C">
        <w:rPr>
          <w:rFonts w:ascii="Arial" w:hAnsi="Arial" w:cs="Arial"/>
          <w:color w:val="262626" w:themeColor="text1" w:themeTint="D9"/>
        </w:rPr>
        <w:t>. “</w:t>
      </w:r>
      <w:r w:rsidRPr="00DE1A3C">
        <w:rPr>
          <w:rFonts w:ascii="Arial" w:hAnsi="Arial" w:cs="Arial"/>
          <w:color w:val="262626" w:themeColor="text1" w:themeTint="D9"/>
        </w:rPr>
        <w:t xml:space="preserve">Con gli artt. 50 e 51 CAM, </w:t>
      </w:r>
      <w:r w:rsidR="009454E3" w:rsidRPr="00DE1A3C">
        <w:rPr>
          <w:rFonts w:ascii="Arial" w:hAnsi="Arial" w:cs="Arial"/>
          <w:color w:val="262626" w:themeColor="text1" w:themeTint="D9"/>
        </w:rPr>
        <w:t xml:space="preserve">- proseguono - </w:t>
      </w:r>
      <w:r w:rsidRPr="00DE1A3C">
        <w:rPr>
          <w:rFonts w:ascii="Arial" w:hAnsi="Arial" w:cs="Arial"/>
          <w:color w:val="262626" w:themeColor="text1" w:themeTint="D9"/>
        </w:rPr>
        <w:t>il legislatore ha tentato di colmare questo vuoto normativo, delineando un quadro più organico della disciplina fiscale dei beni sottoposti a sequestro e confisca.</w:t>
      </w:r>
      <w:r w:rsidR="009454E3" w:rsidRPr="00DE1A3C">
        <w:rPr>
          <w:rFonts w:ascii="Arial" w:hAnsi="Arial" w:cs="Arial"/>
          <w:color w:val="262626" w:themeColor="text1" w:themeTint="D9"/>
        </w:rPr>
        <w:t xml:space="preserve"> </w:t>
      </w:r>
      <w:r w:rsidRPr="00DE1A3C">
        <w:rPr>
          <w:rFonts w:ascii="Arial" w:hAnsi="Arial" w:cs="Arial"/>
          <w:color w:val="262626" w:themeColor="text1" w:themeTint="D9"/>
        </w:rPr>
        <w:t>Tuttavia, il sistema normativo ha continuato ad evolversi attraverso successivi interventi legislativi, tra cui la legge di stabilità n. 228/2012 e il decreto legislativo sulle semplificazioni n. 175/2014, che hanno progressivamente affinato e precisato la disciplina</w:t>
      </w:r>
      <w:r w:rsidR="00DE1A3C" w:rsidRPr="00DE1A3C">
        <w:rPr>
          <w:rFonts w:ascii="Arial" w:hAnsi="Arial" w:cs="Arial"/>
          <w:color w:val="262626" w:themeColor="text1" w:themeTint="D9"/>
        </w:rPr>
        <w:t>”</w:t>
      </w:r>
      <w:r w:rsidRPr="00DE1A3C">
        <w:rPr>
          <w:rFonts w:ascii="Arial" w:hAnsi="Arial" w:cs="Arial"/>
          <w:color w:val="262626" w:themeColor="text1" w:themeTint="D9"/>
        </w:rPr>
        <w:t>.</w:t>
      </w:r>
    </w:p>
    <w:p w14:paraId="483A1BC9" w14:textId="77777777" w:rsidR="00C27914" w:rsidRPr="00DE1A3C" w:rsidRDefault="00C27914" w:rsidP="00C27914">
      <w:pPr>
        <w:widowControl w:val="0"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14:paraId="06AAB1C9" w14:textId="6579C423" w:rsidR="005920D6" w:rsidRPr="00DE1A3C" w:rsidRDefault="009454E3" w:rsidP="00C27914">
      <w:pPr>
        <w:widowControl w:val="0"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 w:rsidRPr="00DE1A3C">
        <w:rPr>
          <w:rFonts w:ascii="Arial" w:hAnsi="Arial" w:cs="Arial"/>
          <w:color w:val="262626" w:themeColor="text1" w:themeTint="D9"/>
        </w:rPr>
        <w:t>“</w:t>
      </w:r>
      <w:r w:rsidR="005920D6" w:rsidRPr="00DE1A3C">
        <w:rPr>
          <w:rFonts w:ascii="Arial" w:hAnsi="Arial" w:cs="Arial"/>
          <w:color w:val="262626" w:themeColor="text1" w:themeTint="D9"/>
        </w:rPr>
        <w:t>Nonostante i richiamati interventi normativi</w:t>
      </w:r>
      <w:r w:rsidRPr="00DE1A3C">
        <w:rPr>
          <w:rFonts w:ascii="Arial" w:hAnsi="Arial" w:cs="Arial"/>
          <w:color w:val="262626" w:themeColor="text1" w:themeTint="D9"/>
        </w:rPr>
        <w:t xml:space="preserve"> </w:t>
      </w:r>
      <w:r w:rsidR="00C27914">
        <w:rPr>
          <w:rFonts w:ascii="Arial" w:hAnsi="Arial" w:cs="Arial"/>
          <w:color w:val="262626" w:themeColor="text1" w:themeTint="D9"/>
        </w:rPr>
        <w:t>-</w:t>
      </w:r>
      <w:r w:rsidRPr="00DE1A3C">
        <w:rPr>
          <w:rFonts w:ascii="Arial" w:hAnsi="Arial" w:cs="Arial"/>
          <w:color w:val="262626" w:themeColor="text1" w:themeTint="D9"/>
        </w:rPr>
        <w:t xml:space="preserve"> proseguono i commercialisti -</w:t>
      </w:r>
      <w:r w:rsidR="00C27914">
        <w:rPr>
          <w:rFonts w:ascii="Arial" w:hAnsi="Arial" w:cs="Arial"/>
          <w:color w:val="262626" w:themeColor="text1" w:themeTint="D9"/>
        </w:rPr>
        <w:t>,</w:t>
      </w:r>
      <w:r w:rsidRPr="00DE1A3C">
        <w:rPr>
          <w:rFonts w:ascii="Arial" w:hAnsi="Arial" w:cs="Arial"/>
          <w:color w:val="262626" w:themeColor="text1" w:themeTint="D9"/>
        </w:rPr>
        <w:t xml:space="preserve"> permane</w:t>
      </w:r>
      <w:r w:rsidR="005920D6" w:rsidRPr="00DE1A3C">
        <w:rPr>
          <w:rFonts w:ascii="Arial" w:hAnsi="Arial" w:cs="Arial"/>
          <w:color w:val="262626" w:themeColor="text1" w:themeTint="D9"/>
        </w:rPr>
        <w:t xml:space="preserve"> l’</w:t>
      </w:r>
      <w:r w:rsidR="005920D6" w:rsidRPr="00DE1A3C">
        <w:rPr>
          <w:rFonts w:ascii="Arial" w:hAnsi="Arial" w:cs="Arial"/>
          <w:b/>
          <w:bCs/>
          <w:color w:val="262626" w:themeColor="text1" w:themeTint="D9"/>
        </w:rPr>
        <w:t xml:space="preserve">assenza </w:t>
      </w:r>
      <w:r w:rsidR="005920D6" w:rsidRPr="00DE1A3C">
        <w:rPr>
          <w:rFonts w:ascii="Arial" w:hAnsi="Arial" w:cs="Arial"/>
          <w:color w:val="262626" w:themeColor="text1" w:themeTint="D9"/>
        </w:rPr>
        <w:t xml:space="preserve">di una disciplina tributaria </w:t>
      </w:r>
      <w:r w:rsidR="005920D6" w:rsidRPr="00DE1A3C">
        <w:rPr>
          <w:rFonts w:ascii="Arial" w:hAnsi="Arial" w:cs="Arial"/>
          <w:b/>
          <w:bCs/>
          <w:color w:val="262626" w:themeColor="text1" w:themeTint="D9"/>
        </w:rPr>
        <w:t>organica e specifica</w:t>
      </w:r>
      <w:r w:rsidR="005920D6" w:rsidRPr="00DE1A3C">
        <w:rPr>
          <w:rFonts w:ascii="Arial" w:hAnsi="Arial" w:cs="Arial"/>
          <w:color w:val="262626" w:themeColor="text1" w:themeTint="D9"/>
        </w:rPr>
        <w:t>, sia in materia di imposte dirette che indirette, che tenga conto delle peculiarità della gestione dei beni sequestrati e confiscati</w:t>
      </w:r>
      <w:r w:rsidRPr="00DE1A3C">
        <w:rPr>
          <w:rFonts w:ascii="Arial" w:hAnsi="Arial" w:cs="Arial"/>
          <w:color w:val="262626" w:themeColor="text1" w:themeTint="D9"/>
        </w:rPr>
        <w:t>”</w:t>
      </w:r>
      <w:r w:rsidR="005920D6" w:rsidRPr="00DE1A3C">
        <w:rPr>
          <w:rFonts w:ascii="Arial" w:hAnsi="Arial" w:cs="Arial"/>
          <w:color w:val="262626" w:themeColor="text1" w:themeTint="D9"/>
        </w:rPr>
        <w:t>.</w:t>
      </w:r>
      <w:r w:rsidRPr="00DE1A3C">
        <w:rPr>
          <w:rFonts w:ascii="Arial" w:hAnsi="Arial" w:cs="Arial"/>
          <w:color w:val="262626" w:themeColor="text1" w:themeTint="D9"/>
        </w:rPr>
        <w:t xml:space="preserve"> “</w:t>
      </w:r>
      <w:r w:rsidR="005920D6" w:rsidRPr="00DE1A3C">
        <w:rPr>
          <w:rFonts w:ascii="Arial" w:hAnsi="Arial" w:cs="Arial"/>
          <w:color w:val="262626" w:themeColor="text1" w:themeTint="D9"/>
        </w:rPr>
        <w:t xml:space="preserve">La complessità della materia è ulteriormente accentuata dal fatto che l’amministratore giudiziario deve operare in un contesto in cui si intrecciano aspetti di </w:t>
      </w:r>
      <w:r w:rsidR="005920D6" w:rsidRPr="00DE1A3C">
        <w:rPr>
          <w:rFonts w:ascii="Arial" w:hAnsi="Arial" w:cs="Arial"/>
          <w:b/>
          <w:bCs/>
          <w:color w:val="262626" w:themeColor="text1" w:themeTint="D9"/>
        </w:rPr>
        <w:t>diritto penale, amministrativo e tributario</w:t>
      </w:r>
      <w:r w:rsidR="005920D6" w:rsidRPr="00DE1A3C">
        <w:rPr>
          <w:rFonts w:ascii="Arial" w:hAnsi="Arial" w:cs="Arial"/>
          <w:color w:val="262626" w:themeColor="text1" w:themeTint="D9"/>
        </w:rPr>
        <w:t>, dovendo garantire una gestione efficiente e conforme alla legge, nel rispetto sia degli interessi erariali che dei diritti dei terzi coinvolti</w:t>
      </w:r>
      <w:r w:rsidRPr="00DE1A3C">
        <w:rPr>
          <w:rFonts w:ascii="Arial" w:hAnsi="Arial" w:cs="Arial"/>
          <w:color w:val="262626" w:themeColor="text1" w:themeTint="D9"/>
        </w:rPr>
        <w:t>”, concludono</w:t>
      </w:r>
      <w:r w:rsidR="005920D6" w:rsidRPr="00DE1A3C">
        <w:rPr>
          <w:rFonts w:ascii="Arial" w:hAnsi="Arial" w:cs="Arial"/>
          <w:color w:val="262626" w:themeColor="text1" w:themeTint="D9"/>
        </w:rPr>
        <w:t>.</w:t>
      </w:r>
    </w:p>
    <w:p w14:paraId="4344456B" w14:textId="18BA2D25" w:rsidR="00C7553E" w:rsidRPr="009454E3" w:rsidRDefault="00C7553E" w:rsidP="005920D6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C7553E" w:rsidRPr="009454E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DF37" w14:textId="77777777" w:rsidR="008C71AF" w:rsidRDefault="008C71AF" w:rsidP="00A57D38">
      <w:pPr>
        <w:spacing w:after="0" w:line="240" w:lineRule="auto"/>
      </w:pPr>
      <w:r>
        <w:separator/>
      </w:r>
    </w:p>
  </w:endnote>
  <w:endnote w:type="continuationSeparator" w:id="0">
    <w:p w14:paraId="33709095" w14:textId="77777777" w:rsidR="008C71AF" w:rsidRDefault="008C71AF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4D63" w14:textId="77777777" w:rsidR="008C71AF" w:rsidRDefault="008C71AF" w:rsidP="00A57D38">
      <w:pPr>
        <w:spacing w:after="0" w:line="240" w:lineRule="auto"/>
      </w:pPr>
      <w:r>
        <w:separator/>
      </w:r>
    </w:p>
  </w:footnote>
  <w:footnote w:type="continuationSeparator" w:id="0">
    <w:p w14:paraId="336A70E5" w14:textId="77777777" w:rsidR="008C71AF" w:rsidRDefault="008C71AF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B92445D"/>
    <w:multiLevelType w:val="hybridMultilevel"/>
    <w:tmpl w:val="E8800076"/>
    <w:lvl w:ilvl="0" w:tplc="D49880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3"/>
  </w:num>
  <w:num w:numId="3" w16cid:durableId="149905896">
    <w:abstractNumId w:val="0"/>
  </w:num>
  <w:num w:numId="4" w16cid:durableId="1738094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056F8"/>
    <w:rsid w:val="000130DF"/>
    <w:rsid w:val="00030943"/>
    <w:rsid w:val="00062DEE"/>
    <w:rsid w:val="000B02CC"/>
    <w:rsid w:val="000D5879"/>
    <w:rsid w:val="000F7086"/>
    <w:rsid w:val="00135FBD"/>
    <w:rsid w:val="001968F2"/>
    <w:rsid w:val="001B1AFB"/>
    <w:rsid w:val="001C1FC0"/>
    <w:rsid w:val="00227893"/>
    <w:rsid w:val="00234E76"/>
    <w:rsid w:val="0024138A"/>
    <w:rsid w:val="002B1079"/>
    <w:rsid w:val="002D511F"/>
    <w:rsid w:val="002F1AFF"/>
    <w:rsid w:val="00300C69"/>
    <w:rsid w:val="003507F7"/>
    <w:rsid w:val="0036302D"/>
    <w:rsid w:val="003739DF"/>
    <w:rsid w:val="003A4F3F"/>
    <w:rsid w:val="003B5D81"/>
    <w:rsid w:val="003B6B20"/>
    <w:rsid w:val="003C6E20"/>
    <w:rsid w:val="003F5D99"/>
    <w:rsid w:val="004415FD"/>
    <w:rsid w:val="0046578B"/>
    <w:rsid w:val="004E2BA6"/>
    <w:rsid w:val="00522640"/>
    <w:rsid w:val="005315AC"/>
    <w:rsid w:val="005416BD"/>
    <w:rsid w:val="00543A7A"/>
    <w:rsid w:val="0056307D"/>
    <w:rsid w:val="005920D6"/>
    <w:rsid w:val="00592D37"/>
    <w:rsid w:val="005C0771"/>
    <w:rsid w:val="00600B5B"/>
    <w:rsid w:val="00607179"/>
    <w:rsid w:val="0061509D"/>
    <w:rsid w:val="006164CD"/>
    <w:rsid w:val="00677E20"/>
    <w:rsid w:val="006A3C59"/>
    <w:rsid w:val="006C2AEE"/>
    <w:rsid w:val="00700600"/>
    <w:rsid w:val="00713B6B"/>
    <w:rsid w:val="00727620"/>
    <w:rsid w:val="00770762"/>
    <w:rsid w:val="00830EF3"/>
    <w:rsid w:val="008716CB"/>
    <w:rsid w:val="008C5196"/>
    <w:rsid w:val="008C71AF"/>
    <w:rsid w:val="00901225"/>
    <w:rsid w:val="00933F3A"/>
    <w:rsid w:val="009454E3"/>
    <w:rsid w:val="00946267"/>
    <w:rsid w:val="009531F7"/>
    <w:rsid w:val="00987E6C"/>
    <w:rsid w:val="00994DC2"/>
    <w:rsid w:val="009B2452"/>
    <w:rsid w:val="009B3602"/>
    <w:rsid w:val="009D18F4"/>
    <w:rsid w:val="009D30A8"/>
    <w:rsid w:val="00A1045D"/>
    <w:rsid w:val="00A1160C"/>
    <w:rsid w:val="00A2019D"/>
    <w:rsid w:val="00A57D38"/>
    <w:rsid w:val="00A70B1B"/>
    <w:rsid w:val="00B071DC"/>
    <w:rsid w:val="00B33601"/>
    <w:rsid w:val="00B51AF3"/>
    <w:rsid w:val="00B55508"/>
    <w:rsid w:val="00B914B7"/>
    <w:rsid w:val="00BD5638"/>
    <w:rsid w:val="00BE4889"/>
    <w:rsid w:val="00BF587A"/>
    <w:rsid w:val="00C27914"/>
    <w:rsid w:val="00C33BF2"/>
    <w:rsid w:val="00C33EDC"/>
    <w:rsid w:val="00C61F00"/>
    <w:rsid w:val="00C6457A"/>
    <w:rsid w:val="00C7553E"/>
    <w:rsid w:val="00C97980"/>
    <w:rsid w:val="00CC633C"/>
    <w:rsid w:val="00CC662D"/>
    <w:rsid w:val="00CE4415"/>
    <w:rsid w:val="00D21941"/>
    <w:rsid w:val="00D4602D"/>
    <w:rsid w:val="00DB3F6B"/>
    <w:rsid w:val="00DE1A3C"/>
    <w:rsid w:val="00DE44CE"/>
    <w:rsid w:val="00DF605A"/>
    <w:rsid w:val="00E14B67"/>
    <w:rsid w:val="00E67397"/>
    <w:rsid w:val="00E7604E"/>
    <w:rsid w:val="00EA565A"/>
    <w:rsid w:val="00ED7DD3"/>
    <w:rsid w:val="00ED7FAF"/>
    <w:rsid w:val="00EF56BE"/>
    <w:rsid w:val="00F1389A"/>
    <w:rsid w:val="00F27538"/>
    <w:rsid w:val="00F453BD"/>
    <w:rsid w:val="00F51483"/>
    <w:rsid w:val="00F75D1F"/>
    <w:rsid w:val="00FB0AA0"/>
    <w:rsid w:val="00FD3A3D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483"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cp:lastPrinted>2025-11-20T08:24:00Z</cp:lastPrinted>
  <dcterms:created xsi:type="dcterms:W3CDTF">2026-01-20T14:37:00Z</dcterms:created>
  <dcterms:modified xsi:type="dcterms:W3CDTF">2026-01-20T15:20:00Z</dcterms:modified>
</cp:coreProperties>
</file>