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98736" w14:textId="77777777" w:rsidR="007E2E1A" w:rsidRPr="00620DFD" w:rsidRDefault="007E2E1A" w:rsidP="00620DF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013D40AC" w14:textId="77777777" w:rsidR="00FE57F8" w:rsidRPr="00620DFD" w:rsidRDefault="00FE57F8" w:rsidP="00620DFD">
      <w:pPr>
        <w:pStyle w:val="atext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</w:p>
    <w:p w14:paraId="70E2E5EB" w14:textId="77777777" w:rsidR="00620DFD" w:rsidRPr="00620DFD" w:rsidRDefault="00620DFD" w:rsidP="00620DFD">
      <w:pPr>
        <w:jc w:val="center"/>
        <w:rPr>
          <w:rFonts w:ascii="Arial" w:hAnsi="Arial" w:cs="Arial"/>
          <w:color w:val="000000"/>
          <w:sz w:val="23"/>
          <w:szCs w:val="23"/>
        </w:rPr>
      </w:pPr>
      <w:r w:rsidRPr="00620DFD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COMUNICATO STAMPA</w:t>
      </w:r>
    </w:p>
    <w:p w14:paraId="4B9B6D12" w14:textId="77777777" w:rsidR="00620DFD" w:rsidRP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20DFD">
        <w:rPr>
          <w:rFonts w:ascii="Arial" w:hAnsi="Arial" w:cs="Arial"/>
          <w:color w:val="000000"/>
          <w:sz w:val="23"/>
          <w:szCs w:val="23"/>
        </w:rPr>
        <w:t> </w:t>
      </w:r>
    </w:p>
    <w:p w14:paraId="24B41964" w14:textId="10A997ED" w:rsidR="00620DFD" w:rsidRDefault="00620DFD" w:rsidP="00620DFD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SINDACO</w:t>
      </w:r>
      <w:r w:rsidR="00BD28A3">
        <w:rPr>
          <w:rFonts w:ascii="Arial" w:hAnsi="Arial" w:cs="Arial"/>
          <w:b/>
          <w:bCs/>
          <w:color w:val="000000"/>
          <w:sz w:val="23"/>
          <w:szCs w:val="23"/>
        </w:rPr>
        <w:t>-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REVISORE, DAI COMMERCIALISTI UN TOOLKIT PER LA GESTIONE DELLA QUALIT</w:t>
      </w:r>
      <w:r>
        <w:rPr>
          <w:rFonts w:ascii="Arial" w:hAnsi="Arial" w:cs="Arial"/>
          <w:b/>
          <w:bCs/>
          <w:color w:val="000000"/>
          <w:sz w:val="23"/>
          <w:szCs w:val="23"/>
        </w:rPr>
        <w:t>À</w:t>
      </w:r>
    </w:p>
    <w:p w14:paraId="495131E6" w14:textId="77777777" w:rsidR="00620DFD" w:rsidRPr="00620DFD" w:rsidRDefault="00620DFD" w:rsidP="00620DFD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2C3EE09B" w14:textId="77777777" w:rsidR="00620DFD" w:rsidRDefault="00620DFD" w:rsidP="00620DFD">
      <w:pPr>
        <w:jc w:val="center"/>
        <w:rPr>
          <w:rFonts w:ascii="Arial" w:hAnsi="Arial" w:cs="Arial"/>
          <w:b/>
          <w:bCs/>
          <w:color w:val="000000"/>
          <w:sz w:val="23"/>
          <w:szCs w:val="23"/>
        </w:rPr>
      </w:pP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La pubblicazione del Consiglio nazionale della categoria nasce per offrire ai professionisti una dotazione operativa chiara e utilizzabile sul campo. De Nuccio: “Un importante strumento di lavoro messo a disposizione dei colleghi”</w:t>
      </w:r>
    </w:p>
    <w:p w14:paraId="14A03EF3" w14:textId="77777777" w:rsidR="00620DFD" w:rsidRPr="00620DFD" w:rsidRDefault="00620DFD" w:rsidP="00620DFD">
      <w:pPr>
        <w:jc w:val="center"/>
        <w:rPr>
          <w:rFonts w:ascii="Arial" w:hAnsi="Arial" w:cs="Arial"/>
          <w:color w:val="000000"/>
          <w:sz w:val="23"/>
          <w:szCs w:val="23"/>
        </w:rPr>
      </w:pPr>
    </w:p>
    <w:p w14:paraId="033B5488" w14:textId="7969C8F1" w:rsid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20DFD">
        <w:rPr>
          <w:rFonts w:ascii="Arial" w:hAnsi="Arial" w:cs="Arial"/>
          <w:i/>
          <w:iCs/>
          <w:color w:val="000000"/>
          <w:sz w:val="23"/>
          <w:szCs w:val="23"/>
        </w:rPr>
        <w:t>Roma, 19 dicembre 2025 -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Un Toolkit per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la gestione della qualità per il sindaco-revisore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contenente una serie di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documenti illustrativi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(quali esempi di policy statement, questionari, modelli di lettere e di memorandum) che rappresentano un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utile supporto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per la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 xml:space="preserve">configurazione </w:t>
      </w:r>
      <w:r w:rsidRPr="00620DFD">
        <w:rPr>
          <w:rFonts w:ascii="Arial" w:hAnsi="Arial" w:cs="Arial"/>
          <w:color w:val="000000"/>
          <w:sz w:val="23"/>
          <w:szCs w:val="23"/>
        </w:rPr>
        <w:t>e l’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 xml:space="preserve">implementazione 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del sistema di gestione della qualità conforme alle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previsioni normative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e agli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standard professionali vigenti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. Lo mette a disposizione dei suoi iscritti il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Consiglio nazionale dei commercialisti</w:t>
      </w:r>
      <w:r w:rsidRPr="00620DFD">
        <w:rPr>
          <w:rFonts w:ascii="Arial" w:hAnsi="Arial" w:cs="Arial"/>
          <w:color w:val="000000"/>
          <w:sz w:val="23"/>
          <w:szCs w:val="23"/>
        </w:rPr>
        <w:t> nell’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 xml:space="preserve">area a loro riservata </w:t>
      </w:r>
      <w:r w:rsidRPr="00620DFD">
        <w:rPr>
          <w:rFonts w:ascii="Arial" w:hAnsi="Arial" w:cs="Arial"/>
          <w:color w:val="000000"/>
          <w:sz w:val="23"/>
          <w:szCs w:val="23"/>
        </w:rPr>
        <w:t>del sito nazionale della categoria. La pubblicazione è stata realizzata dalla Commissione “S</w:t>
      </w:r>
      <w:r w:rsidR="009B5326">
        <w:rPr>
          <w:rFonts w:ascii="Arial" w:hAnsi="Arial" w:cs="Arial"/>
          <w:color w:val="000000"/>
          <w:sz w:val="23"/>
          <w:szCs w:val="23"/>
        </w:rPr>
        <w:t>f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ida qualità” presieduta da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Erman</w:t>
      </w:r>
      <w:r w:rsidR="006D1C2D">
        <w:rPr>
          <w:rFonts w:ascii="Arial" w:hAnsi="Arial" w:cs="Arial"/>
          <w:b/>
          <w:bCs/>
          <w:color w:val="000000"/>
          <w:sz w:val="23"/>
          <w:szCs w:val="23"/>
        </w:rPr>
        <w:t>d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o Bozza</w:t>
      </w:r>
      <w:r w:rsidRPr="00620DFD">
        <w:rPr>
          <w:rFonts w:ascii="Arial" w:hAnsi="Arial" w:cs="Arial"/>
          <w:color w:val="000000"/>
          <w:sz w:val="23"/>
          <w:szCs w:val="23"/>
        </w:rPr>
        <w:t>.</w:t>
      </w:r>
    </w:p>
    <w:p w14:paraId="09222690" w14:textId="77777777" w:rsidR="00620DFD" w:rsidRP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16269E0E" w14:textId="77777777" w:rsid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20DFD">
        <w:rPr>
          <w:rFonts w:ascii="Arial" w:hAnsi="Arial" w:cs="Arial"/>
          <w:color w:val="000000"/>
          <w:sz w:val="23"/>
          <w:szCs w:val="23"/>
        </w:rPr>
        <w:t xml:space="preserve">Il Toolkit nasce per offrire ai professionisti una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dotazione operativa chiara e utilizzabile</w:t>
      </w:r>
      <w:r w:rsidRPr="00620DFD">
        <w:rPr>
          <w:rFonts w:ascii="Arial" w:hAnsi="Arial" w:cs="Arial"/>
          <w:color w:val="000000"/>
          <w:sz w:val="23"/>
          <w:szCs w:val="23"/>
        </w:rPr>
        <w:t> sul campo: policy, checklist, modelli e schemi che aiutino a configurare, mettere in atto e documentare risposte proporzionate ai rischi per la qualità individuati, secondo un approccio basato sul rischio.</w:t>
      </w:r>
    </w:p>
    <w:p w14:paraId="4A03ACAC" w14:textId="77777777" w:rsidR="00620DFD" w:rsidRP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628A3EDA" w14:textId="77777777" w:rsid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20DFD">
        <w:rPr>
          <w:rFonts w:ascii="Arial" w:hAnsi="Arial" w:cs="Arial"/>
          <w:color w:val="000000"/>
          <w:sz w:val="23"/>
          <w:szCs w:val="23"/>
        </w:rPr>
        <w:t xml:space="preserve">Alla pubblicazione del Toolkit farà seguito a breve quella di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altri strumenti di supporto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che completano e arricchiscono il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set documentale</w:t>
      </w:r>
      <w:r w:rsidRPr="00620DFD">
        <w:rPr>
          <w:rFonts w:ascii="Arial" w:hAnsi="Arial" w:cs="Arial"/>
          <w:color w:val="000000"/>
          <w:sz w:val="23"/>
          <w:szCs w:val="23"/>
        </w:rPr>
        <w:t> che il Consiglio Nazionale mette a disposizione degli iscritti che ricoprono il doppio ruolo di sindaco-revisore di un’impresa meno complessa.</w:t>
      </w:r>
    </w:p>
    <w:p w14:paraId="137F5C1C" w14:textId="77777777" w:rsidR="00620DFD" w:rsidRP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5DD8CA21" w14:textId="2B657B62" w:rsid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  <w:r w:rsidRPr="00620DFD">
        <w:rPr>
          <w:rFonts w:ascii="Arial" w:hAnsi="Arial" w:cs="Arial"/>
          <w:color w:val="000000"/>
          <w:sz w:val="23"/>
          <w:szCs w:val="23"/>
        </w:rPr>
        <w:t xml:space="preserve">“Lo svolgimento di incarichi di revisione contabile del bilancio e, da ultimo, di attestazione sulla conformità della rendicontazione di sostenibilità – afferma il presidente del Consiglio nazionale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Elbano de Nuccio</w:t>
      </w:r>
      <w:r w:rsidRPr="00620DFD">
        <w:rPr>
          <w:rFonts w:ascii="Arial" w:hAnsi="Arial" w:cs="Arial"/>
          <w:color w:val="000000"/>
          <w:sz w:val="23"/>
          <w:szCs w:val="23"/>
        </w:rPr>
        <w:t> </w:t>
      </w:r>
      <w:r w:rsidR="00143655">
        <w:rPr>
          <w:rFonts w:ascii="Arial" w:hAnsi="Arial" w:cs="Arial"/>
          <w:color w:val="000000"/>
          <w:sz w:val="23"/>
          <w:szCs w:val="23"/>
        </w:rPr>
        <w:t>–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 richiedono che il revisore sia dotato di un sistema interno di gestione della qualità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proporzionato all’ampiezza e alla complessità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degli incarichi stessi. Il Toolkit rappresenta un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supporto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 - messo a disposizione dei colleghi dal Consiglio nazionale -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 xml:space="preserve">utile 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alla configurazione e implementazione di sistemi di gestione della qualità, conformi alle previsioni normative e ai nuovi standard professionali in vigore dal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1° gennaio 2025</w:t>
      </w:r>
      <w:r w:rsidRPr="00620DFD">
        <w:rPr>
          <w:rFonts w:ascii="Arial" w:hAnsi="Arial" w:cs="Arial"/>
          <w:color w:val="000000"/>
          <w:sz w:val="23"/>
          <w:szCs w:val="23"/>
        </w:rPr>
        <w:t> con particolare attenzione a quei contesti e</w:t>
      </w:r>
      <w:r w:rsidR="00143655">
        <w:rPr>
          <w:rFonts w:ascii="Arial" w:hAnsi="Arial" w:cs="Arial"/>
          <w:color w:val="000000"/>
          <w:sz w:val="23"/>
          <w:szCs w:val="23"/>
        </w:rPr>
        <w:t xml:space="preserve"> quelle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 strutture organizzative nei quali la presenza di risorse umane, tecnologiche e intellettuali è spesso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 xml:space="preserve">limitata 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e gli incarichi svolti o la clientela presenta caratteristiche di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minore complessità e rischiosità</w:t>
      </w:r>
      <w:r w:rsidRPr="00620DFD">
        <w:rPr>
          <w:rFonts w:ascii="Arial" w:hAnsi="Arial" w:cs="Arial"/>
          <w:color w:val="000000"/>
          <w:sz w:val="23"/>
          <w:szCs w:val="23"/>
        </w:rPr>
        <w:t>”.</w:t>
      </w:r>
    </w:p>
    <w:p w14:paraId="09A14407" w14:textId="77777777" w:rsidR="00620DFD" w:rsidRPr="00620DFD" w:rsidRDefault="00620DFD" w:rsidP="00620DFD">
      <w:pPr>
        <w:jc w:val="both"/>
        <w:rPr>
          <w:rFonts w:ascii="Arial" w:hAnsi="Arial" w:cs="Arial"/>
          <w:color w:val="000000"/>
          <w:sz w:val="23"/>
          <w:szCs w:val="23"/>
        </w:rPr>
      </w:pPr>
    </w:p>
    <w:p w14:paraId="6FACF38F" w14:textId="0C9A6ACC" w:rsidR="008D603E" w:rsidRPr="00620DFD" w:rsidRDefault="00620DFD" w:rsidP="00620DFD">
      <w:pPr>
        <w:jc w:val="both"/>
        <w:rPr>
          <w:rFonts w:ascii="Arial" w:hAnsi="Arial" w:cs="Arial"/>
          <w:bCs/>
          <w:sz w:val="23"/>
          <w:szCs w:val="23"/>
        </w:rPr>
      </w:pPr>
      <w:r w:rsidRPr="00620DFD">
        <w:rPr>
          <w:rFonts w:ascii="Arial" w:hAnsi="Arial" w:cs="Arial"/>
          <w:color w:val="000000"/>
          <w:sz w:val="23"/>
          <w:szCs w:val="23"/>
        </w:rPr>
        <w:t xml:space="preserve">Per i due consiglieri nazionali delegati alla materia,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Gian Luca Ancarani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e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Maurizio Masini</w:t>
      </w:r>
      <w:r w:rsidR="00AF759B">
        <w:rPr>
          <w:rFonts w:ascii="Arial" w:hAnsi="Arial" w:cs="Arial"/>
          <w:color w:val="000000"/>
          <w:sz w:val="23"/>
          <w:szCs w:val="23"/>
        </w:rPr>
        <w:t>,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“il Toolkit, nel riprendere e adattare gli eccellenti materiali forniti da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International Federation of Accountants (IFAC)</w:t>
      </w:r>
      <w:r w:rsidRPr="00620DFD">
        <w:rPr>
          <w:rFonts w:ascii="Arial" w:hAnsi="Arial" w:cs="Arial"/>
          <w:color w:val="000000"/>
          <w:sz w:val="23"/>
          <w:szCs w:val="23"/>
        </w:rPr>
        <w:t xml:space="preserve"> e </w:t>
      </w:r>
      <w:r w:rsidRPr="00620DFD">
        <w:rPr>
          <w:rFonts w:ascii="Arial" w:hAnsi="Arial" w:cs="Arial"/>
          <w:b/>
          <w:bCs/>
          <w:color w:val="000000"/>
          <w:sz w:val="23"/>
          <w:szCs w:val="23"/>
        </w:rPr>
        <w:t>Chartered Accountants Australia and New Zealand (CA ANZ)</w:t>
      </w:r>
      <w:r w:rsidRPr="00AF759B">
        <w:rPr>
          <w:rFonts w:ascii="Arial" w:hAnsi="Arial" w:cs="Arial"/>
          <w:color w:val="000000"/>
          <w:sz w:val="23"/>
          <w:szCs w:val="23"/>
        </w:rPr>
        <w:t>,</w:t>
      </w:r>
      <w:r w:rsidRPr="00620DFD">
        <w:rPr>
          <w:rFonts w:ascii="Arial" w:hAnsi="Arial" w:cs="Arial"/>
          <w:color w:val="000000"/>
          <w:sz w:val="23"/>
          <w:szCs w:val="23"/>
        </w:rPr>
        <w:t> rivolti ad un pubblico internazionale, li declina al contesto nazionale dove di frequente la funzione di revisione legale dei bilanci è affidata al collegio sindacale o anche al sindaco unico. Le esemplificazioni contenute nel Toolkit, pertanto, si rivolgono al revisore individuale o al sindaco-revisore fornendo al contempo un focus operativo per il collegio sindacale incaricato della revisione dove ciascun componente ha un proprio sistema di gestione della qualità ed è quindi necessario porre in essere considerazioni comuni e azioni condivise da parte di ciascuno di essi”.</w:t>
      </w:r>
    </w:p>
    <w:sectPr w:rsidR="008D603E" w:rsidRPr="00620DFD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C3340D" w14:textId="77777777" w:rsidR="007353D2" w:rsidRDefault="007353D2" w:rsidP="00A57D38">
      <w:r>
        <w:separator/>
      </w:r>
    </w:p>
  </w:endnote>
  <w:endnote w:type="continuationSeparator" w:id="0">
    <w:p w14:paraId="1896AF65" w14:textId="77777777" w:rsidR="007353D2" w:rsidRDefault="007353D2" w:rsidP="00A5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FDC88" w14:textId="77777777" w:rsidR="007353D2" w:rsidRDefault="007353D2" w:rsidP="00A57D38">
      <w:r>
        <w:separator/>
      </w:r>
    </w:p>
  </w:footnote>
  <w:footnote w:type="continuationSeparator" w:id="0">
    <w:p w14:paraId="6B2688A0" w14:textId="77777777" w:rsidR="007353D2" w:rsidRDefault="007353D2" w:rsidP="00A57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010A1" w14:textId="54DE1EA9" w:rsidR="00A57D38" w:rsidRDefault="00A57D38" w:rsidP="00A57D38">
    <w:pPr>
      <w:pStyle w:val="Intestazione"/>
      <w:jc w:val="center"/>
    </w:pPr>
    <w:r w:rsidRPr="00F6138D">
      <w:rPr>
        <w:noProof/>
        <w:lang w:eastAsia="it-IT"/>
      </w:rPr>
      <w:drawing>
        <wp:inline distT="0" distB="0" distL="0" distR="0" wp14:anchorId="45169683" wp14:editId="3070078B">
          <wp:extent cx="2314575" cy="781050"/>
          <wp:effectExtent l="0" t="0" r="0" b="0"/>
          <wp:docPr id="1109192327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78E9618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916C444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5792339"/>
    <w:multiLevelType w:val="hybridMultilevel"/>
    <w:tmpl w:val="84D8D5A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0486"/>
    <w:multiLevelType w:val="hybridMultilevel"/>
    <w:tmpl w:val="FFFFFFFF"/>
    <w:lvl w:ilvl="0" w:tplc="FFFFFFFF">
      <w:start w:val="1"/>
      <w:numFmt w:val="lowerLetter"/>
      <w:lvlText w:val="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353922285">
    <w:abstractNumId w:val="1"/>
  </w:num>
  <w:num w:numId="2" w16cid:durableId="47654393">
    <w:abstractNumId w:val="3"/>
  </w:num>
  <w:num w:numId="3" w16cid:durableId="149905896">
    <w:abstractNumId w:val="0"/>
  </w:num>
  <w:num w:numId="4" w16cid:durableId="1667924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B20"/>
    <w:rsid w:val="000130DF"/>
    <w:rsid w:val="00030943"/>
    <w:rsid w:val="00062DEE"/>
    <w:rsid w:val="000826A4"/>
    <w:rsid w:val="000B02CC"/>
    <w:rsid w:val="000D5879"/>
    <w:rsid w:val="000F7086"/>
    <w:rsid w:val="00105846"/>
    <w:rsid w:val="00135FBD"/>
    <w:rsid w:val="00143655"/>
    <w:rsid w:val="001972E0"/>
    <w:rsid w:val="001B1AFB"/>
    <w:rsid w:val="001E4D7A"/>
    <w:rsid w:val="00227893"/>
    <w:rsid w:val="00234E76"/>
    <w:rsid w:val="0024138A"/>
    <w:rsid w:val="00250119"/>
    <w:rsid w:val="002B1079"/>
    <w:rsid w:val="002D511F"/>
    <w:rsid w:val="00300C69"/>
    <w:rsid w:val="003507F7"/>
    <w:rsid w:val="0036302D"/>
    <w:rsid w:val="00364335"/>
    <w:rsid w:val="003739DF"/>
    <w:rsid w:val="003A4F3F"/>
    <w:rsid w:val="003B5D81"/>
    <w:rsid w:val="003B6B20"/>
    <w:rsid w:val="003C6E20"/>
    <w:rsid w:val="003F5D99"/>
    <w:rsid w:val="00417F1A"/>
    <w:rsid w:val="004358CF"/>
    <w:rsid w:val="004415FD"/>
    <w:rsid w:val="00474973"/>
    <w:rsid w:val="004A68CB"/>
    <w:rsid w:val="004B773B"/>
    <w:rsid w:val="004D68FF"/>
    <w:rsid w:val="004E2BA6"/>
    <w:rsid w:val="005051A3"/>
    <w:rsid w:val="00522640"/>
    <w:rsid w:val="005252E4"/>
    <w:rsid w:val="005315AC"/>
    <w:rsid w:val="00532E2E"/>
    <w:rsid w:val="005416BD"/>
    <w:rsid w:val="00543A7A"/>
    <w:rsid w:val="0056307D"/>
    <w:rsid w:val="0059245B"/>
    <w:rsid w:val="00592D37"/>
    <w:rsid w:val="005C0771"/>
    <w:rsid w:val="00600B5B"/>
    <w:rsid w:val="00607179"/>
    <w:rsid w:val="00620DFD"/>
    <w:rsid w:val="00664CC2"/>
    <w:rsid w:val="00677E20"/>
    <w:rsid w:val="0068490D"/>
    <w:rsid w:val="006A7BC4"/>
    <w:rsid w:val="006C2AEE"/>
    <w:rsid w:val="006C2B00"/>
    <w:rsid w:val="006D1C2D"/>
    <w:rsid w:val="00700600"/>
    <w:rsid w:val="00713B6B"/>
    <w:rsid w:val="00727620"/>
    <w:rsid w:val="00734297"/>
    <w:rsid w:val="007353D2"/>
    <w:rsid w:val="007A2BE9"/>
    <w:rsid w:val="007B3846"/>
    <w:rsid w:val="007E2E1A"/>
    <w:rsid w:val="0080350A"/>
    <w:rsid w:val="00830EF3"/>
    <w:rsid w:val="008716CB"/>
    <w:rsid w:val="008A1C52"/>
    <w:rsid w:val="008C5196"/>
    <w:rsid w:val="008D603E"/>
    <w:rsid w:val="00901225"/>
    <w:rsid w:val="00933F3A"/>
    <w:rsid w:val="009531F7"/>
    <w:rsid w:val="00987E6C"/>
    <w:rsid w:val="009B2452"/>
    <w:rsid w:val="009B3602"/>
    <w:rsid w:val="009B5326"/>
    <w:rsid w:val="009C2ED2"/>
    <w:rsid w:val="009D18F4"/>
    <w:rsid w:val="009D30A8"/>
    <w:rsid w:val="009D3ADB"/>
    <w:rsid w:val="009E1E87"/>
    <w:rsid w:val="00A1045D"/>
    <w:rsid w:val="00A1160C"/>
    <w:rsid w:val="00A2019D"/>
    <w:rsid w:val="00A57D38"/>
    <w:rsid w:val="00A70B1B"/>
    <w:rsid w:val="00AB1D99"/>
    <w:rsid w:val="00AF759B"/>
    <w:rsid w:val="00B0182E"/>
    <w:rsid w:val="00B071DC"/>
    <w:rsid w:val="00B33601"/>
    <w:rsid w:val="00B51AF3"/>
    <w:rsid w:val="00B55508"/>
    <w:rsid w:val="00B619BC"/>
    <w:rsid w:val="00B92CAA"/>
    <w:rsid w:val="00BA4036"/>
    <w:rsid w:val="00BD28A3"/>
    <w:rsid w:val="00BD5638"/>
    <w:rsid w:val="00BE4889"/>
    <w:rsid w:val="00BF587A"/>
    <w:rsid w:val="00C01BD2"/>
    <w:rsid w:val="00C33BF2"/>
    <w:rsid w:val="00C33EDC"/>
    <w:rsid w:val="00C61F00"/>
    <w:rsid w:val="00C7553E"/>
    <w:rsid w:val="00C97980"/>
    <w:rsid w:val="00CB7284"/>
    <w:rsid w:val="00CC633C"/>
    <w:rsid w:val="00CE4415"/>
    <w:rsid w:val="00D4602D"/>
    <w:rsid w:val="00D548C8"/>
    <w:rsid w:val="00DE44CE"/>
    <w:rsid w:val="00DF605A"/>
    <w:rsid w:val="00E10210"/>
    <w:rsid w:val="00E14B67"/>
    <w:rsid w:val="00E23CAA"/>
    <w:rsid w:val="00E31148"/>
    <w:rsid w:val="00E63BA8"/>
    <w:rsid w:val="00E6449D"/>
    <w:rsid w:val="00E67397"/>
    <w:rsid w:val="00E72EA7"/>
    <w:rsid w:val="00E7604E"/>
    <w:rsid w:val="00E924B5"/>
    <w:rsid w:val="00EA565A"/>
    <w:rsid w:val="00ED7DD3"/>
    <w:rsid w:val="00ED7FAF"/>
    <w:rsid w:val="00EF56BE"/>
    <w:rsid w:val="00F10465"/>
    <w:rsid w:val="00F1389A"/>
    <w:rsid w:val="00F27538"/>
    <w:rsid w:val="00F36B16"/>
    <w:rsid w:val="00F75D1F"/>
    <w:rsid w:val="00FB0AA0"/>
    <w:rsid w:val="00FD3A3D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CA505"/>
  <w15:chartTrackingRefBased/>
  <w15:docId w15:val="{918E96B5-BADA-42AC-8590-38402975C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DFD"/>
    <w:pPr>
      <w:spacing w:after="0" w:line="240" w:lineRule="auto"/>
    </w:pPr>
    <w:rPr>
      <w:rFonts w:ascii="Aptos" w:hAnsi="Aptos" w:cs="Aptos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B6B2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B6B2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9"/>
    <w:unhideWhenUsed/>
    <w:qFormat/>
    <w:rsid w:val="003B6B2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B6B2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B6B20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B6B20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B6B20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B6B20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6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B6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3B6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B6B2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B6B2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B6B2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B6B2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B6B2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B6B2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B6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3B6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B6B2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B6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B6B20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B6B2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B6B20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3B6B2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B6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B6B2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B6B20"/>
    <w:rPr>
      <w:b/>
      <w:bCs/>
      <w:smallCaps/>
      <w:color w:val="0F4761" w:themeColor="accent1" w:themeShade="BF"/>
      <w:spacing w:val="5"/>
    </w:rPr>
  </w:style>
  <w:style w:type="paragraph" w:customStyle="1" w:styleId="atext">
    <w:name w:val="atext"/>
    <w:basedOn w:val="Normale"/>
    <w:rsid w:val="003B6B2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A57D38"/>
    <w:pPr>
      <w:tabs>
        <w:tab w:val="center" w:pos="4819"/>
        <w:tab w:val="right" w:pos="9638"/>
      </w:tabs>
    </w:pPr>
    <w:rPr>
      <w:rFonts w:asciiTheme="minorHAnsi" w:hAnsiTheme="minorHAnsi" w:cstheme="minorBidi"/>
      <w:kern w:val="2"/>
      <w:lang w:eastAsia="en-US"/>
      <w14:ligatures w14:val="standardContextual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57D38"/>
  </w:style>
  <w:style w:type="paragraph" w:styleId="Pidipagina">
    <w:name w:val="footer"/>
    <w:basedOn w:val="Normale"/>
    <w:link w:val="PidipaginaCarattere"/>
    <w:uiPriority w:val="99"/>
    <w:unhideWhenUsed/>
    <w:rsid w:val="00A57D3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57D38"/>
  </w:style>
  <w:style w:type="paragraph" w:styleId="NormaleWeb">
    <w:name w:val="Normal (Web)"/>
    <w:basedOn w:val="Normale"/>
    <w:uiPriority w:val="99"/>
    <w:unhideWhenUsed/>
    <w:rsid w:val="00CE441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nfasigrassetto">
    <w:name w:val="Strong"/>
    <w:basedOn w:val="Carpredefinitoparagrafo"/>
    <w:uiPriority w:val="22"/>
    <w:qFormat/>
    <w:rsid w:val="00CE4415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6C2AEE"/>
    <w:rPr>
      <w:color w:val="0000FF"/>
      <w:u w:val="single"/>
    </w:rPr>
  </w:style>
  <w:style w:type="paragraph" w:styleId="Revisione">
    <w:name w:val="Revision"/>
    <w:hidden/>
    <w:uiPriority w:val="99"/>
    <w:semiHidden/>
    <w:rsid w:val="00A1045D"/>
    <w:pPr>
      <w:spacing w:after="0" w:line="240" w:lineRule="auto"/>
    </w:pPr>
  </w:style>
  <w:style w:type="character" w:styleId="Menzionenonrisolta">
    <w:name w:val="Unresolved Mention"/>
    <w:basedOn w:val="Carpredefinitoparagrafo"/>
    <w:uiPriority w:val="99"/>
    <w:semiHidden/>
    <w:unhideWhenUsed/>
    <w:rsid w:val="009B3602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B3602"/>
    <w:rPr>
      <w:color w:val="96607D" w:themeColor="followedHyperlink"/>
      <w:u w:val="single"/>
    </w:rPr>
  </w:style>
  <w:style w:type="paragraph" w:customStyle="1" w:styleId="Corpotesto1">
    <w:name w:val="Corpo testo1"/>
    <w:basedOn w:val="Normale"/>
    <w:rsid w:val="00135FBD"/>
    <w:pPr>
      <w:spacing w:line="360" w:lineRule="auto"/>
      <w:ind w:firstLine="284"/>
      <w:jc w:val="both"/>
    </w:pPr>
    <w:rPr>
      <w:rFonts w:ascii="Times New Roman" w:eastAsia="Times New Roman" w:hAnsi="Times New Roman" w:cs="Times New Roman"/>
      <w:kern w:val="19"/>
      <w:sz w:val="22"/>
      <w:szCs w:val="20"/>
      <w:lang w:eastAsia="zh-CN"/>
    </w:rPr>
  </w:style>
  <w:style w:type="paragraph" w:styleId="Testonotaapidipagina">
    <w:name w:val="footnote text"/>
    <w:aliases w:val="Testo nota a piè di pagina Carattere Carattere Carattere Carattere Carattere Carattere Carattere Carattere Carattere Carattere,Testo nota a piè di pagina Carattere Carattere Carattere,12 pt"/>
    <w:basedOn w:val="Normale"/>
    <w:link w:val="TestonotaapidipaginaCarattere"/>
    <w:uiPriority w:val="99"/>
    <w:unhideWhenUsed/>
    <w:qFormat/>
    <w:rsid w:val="004358CF"/>
    <w:pPr>
      <w:jc w:val="both"/>
    </w:pPr>
    <w:rPr>
      <w:rFonts w:asciiTheme="minorHAnsi" w:eastAsiaTheme="minorEastAsia" w:hAnsiTheme="minorHAnsi" w:cstheme="minorBidi"/>
      <w:color w:val="595959" w:themeColor="text1" w:themeTint="A6"/>
      <w:sz w:val="20"/>
      <w:szCs w:val="20"/>
      <w:lang w:eastAsia="en-US"/>
    </w:rPr>
  </w:style>
  <w:style w:type="character" w:customStyle="1" w:styleId="TestonotaapidipaginaCarattere">
    <w:name w:val="Testo nota a piè di pagina Carattere"/>
    <w:aliases w:val="Testo nota a piè di pagina Carattere Carattere Carattere Carattere Carattere Carattere Carattere Carattere Carattere Carattere Carattere,Testo nota a piè di pagina Carattere Carattere Carattere Carattere"/>
    <w:basedOn w:val="Carpredefinitoparagrafo"/>
    <w:link w:val="Testonotaapidipagina"/>
    <w:uiPriority w:val="99"/>
    <w:rsid w:val="004358CF"/>
    <w:rPr>
      <w:rFonts w:eastAsiaTheme="minorEastAsia"/>
      <w:color w:val="595959" w:themeColor="text1" w:themeTint="A6"/>
      <w:kern w:val="0"/>
      <w:sz w:val="20"/>
      <w:szCs w:val="20"/>
      <w14:ligatures w14:val="none"/>
    </w:rPr>
  </w:style>
  <w:style w:type="character" w:styleId="Rimandonotaapidipagina">
    <w:name w:val="footnote reference"/>
    <w:aliases w:val="Rimando nota a piè di pagina 2,SUPERS,Footnote reference number,Footnote symbol,note TESI,-E Fußnotenzeichen,number,BVI fnr,Footnote,Footnote Reference Superscript,(Footnote Reference),EN Footnote Reference,Voetnootverwijzin"/>
    <w:uiPriority w:val="99"/>
    <w:unhideWhenUsed/>
    <w:qFormat/>
    <w:rsid w:val="004358CF"/>
    <w:rPr>
      <w:vertAlign w:val="superscript"/>
    </w:rPr>
  </w:style>
  <w:style w:type="paragraph" w:customStyle="1" w:styleId="Corpodel">
    <w:name w:val="Corpo del"/>
    <w:basedOn w:val="Normale"/>
    <w:uiPriority w:val="99"/>
    <w:rsid w:val="00E6449D"/>
    <w:pPr>
      <w:spacing w:after="120" w:line="260" w:lineRule="atLeast"/>
    </w:pPr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07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52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58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96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6660413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77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6644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74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08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2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564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9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684502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605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0705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383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9DE2F8-84A8-46C9-90CA-C39089A6B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8</cp:revision>
  <cp:lastPrinted>2025-12-18T12:14:00Z</cp:lastPrinted>
  <dcterms:created xsi:type="dcterms:W3CDTF">2025-12-18T12:56:00Z</dcterms:created>
  <dcterms:modified xsi:type="dcterms:W3CDTF">2025-12-19T12:29:00Z</dcterms:modified>
</cp:coreProperties>
</file>