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98736" w14:textId="77777777" w:rsidR="007E2E1A" w:rsidRPr="00B42FA4" w:rsidRDefault="007E2E1A" w:rsidP="00135FBD">
      <w:pPr>
        <w:pStyle w:val="atext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u w:val="single"/>
        </w:rPr>
      </w:pPr>
    </w:p>
    <w:p w14:paraId="06D1CC94" w14:textId="77777777" w:rsidR="005F47CB" w:rsidRDefault="005F47CB" w:rsidP="005F47CB">
      <w:pPr>
        <w:jc w:val="center"/>
        <w:rPr>
          <w:rFonts w:ascii="Arial" w:hAnsi="Arial" w:cs="Arial"/>
          <w:b/>
          <w:bCs/>
          <w:color w:val="000000"/>
          <w:u w:val="single"/>
        </w:rPr>
      </w:pPr>
      <w:r w:rsidRPr="005F47CB">
        <w:rPr>
          <w:rFonts w:ascii="Arial" w:hAnsi="Arial" w:cs="Arial"/>
          <w:b/>
          <w:bCs/>
          <w:color w:val="000000"/>
          <w:u w:val="single"/>
        </w:rPr>
        <w:t>COMUNICATO STAMPA</w:t>
      </w:r>
    </w:p>
    <w:p w14:paraId="55FD939E" w14:textId="77777777" w:rsidR="005F47CB" w:rsidRPr="005F47CB" w:rsidRDefault="005F47CB" w:rsidP="005F47CB">
      <w:pPr>
        <w:jc w:val="center"/>
        <w:rPr>
          <w:rFonts w:ascii="Arial" w:hAnsi="Arial" w:cs="Arial"/>
          <w:color w:val="000000"/>
        </w:rPr>
      </w:pPr>
    </w:p>
    <w:p w14:paraId="39A1FA8B" w14:textId="5CD360FF" w:rsidR="005F47CB" w:rsidRDefault="005F47CB" w:rsidP="005F47CB">
      <w:pPr>
        <w:jc w:val="center"/>
        <w:rPr>
          <w:rFonts w:ascii="Arial" w:hAnsi="Arial" w:cs="Arial"/>
          <w:b/>
          <w:bCs/>
          <w:color w:val="000000"/>
        </w:rPr>
      </w:pPr>
      <w:r w:rsidRPr="005F47CB">
        <w:rPr>
          <w:rFonts w:ascii="Arial" w:hAnsi="Arial" w:cs="Arial"/>
          <w:color w:val="000000"/>
        </w:rPr>
        <w:t> </w:t>
      </w:r>
      <w:r w:rsidRPr="005F47CB">
        <w:rPr>
          <w:rFonts w:ascii="Arial" w:hAnsi="Arial" w:cs="Arial"/>
          <w:b/>
          <w:bCs/>
          <w:color w:val="000000"/>
        </w:rPr>
        <w:t>AMMINISTRAZION</w:t>
      </w:r>
      <w:r w:rsidR="00000B32">
        <w:rPr>
          <w:rFonts w:ascii="Arial" w:hAnsi="Arial" w:cs="Arial"/>
          <w:b/>
          <w:bCs/>
          <w:color w:val="000000"/>
        </w:rPr>
        <w:t>I</w:t>
      </w:r>
      <w:r w:rsidRPr="005F47CB">
        <w:rPr>
          <w:rFonts w:ascii="Arial" w:hAnsi="Arial" w:cs="Arial"/>
          <w:b/>
          <w:bCs/>
          <w:color w:val="000000"/>
        </w:rPr>
        <w:t xml:space="preserve"> PUBBLICHE, DAI COMMERCIALISTI UN METODO VALUTATIVO PER LE DISMISSIONI</w:t>
      </w:r>
    </w:p>
    <w:p w14:paraId="49FEAC17" w14:textId="77777777" w:rsidR="005F47CB" w:rsidRPr="005F47CB" w:rsidRDefault="005F47CB" w:rsidP="005F47CB">
      <w:pPr>
        <w:jc w:val="center"/>
        <w:rPr>
          <w:rFonts w:ascii="Arial" w:hAnsi="Arial" w:cs="Arial"/>
          <w:color w:val="000000"/>
        </w:rPr>
      </w:pPr>
    </w:p>
    <w:p w14:paraId="161589DB" w14:textId="77777777" w:rsidR="005F47CB" w:rsidRDefault="005F47CB" w:rsidP="005F47CB">
      <w:pPr>
        <w:jc w:val="center"/>
        <w:rPr>
          <w:rFonts w:ascii="Arial" w:hAnsi="Arial" w:cs="Arial"/>
          <w:b/>
          <w:bCs/>
          <w:color w:val="000000"/>
        </w:rPr>
      </w:pPr>
      <w:r w:rsidRPr="005F47CB">
        <w:rPr>
          <w:rFonts w:ascii="Arial" w:hAnsi="Arial" w:cs="Arial"/>
          <w:b/>
          <w:bCs/>
          <w:color w:val="000000"/>
        </w:rPr>
        <w:t>Individuato un criterio che attribuisce rilievo all’impatto sociale e ambientale delle obbligazioni non monetarie assunte dall’operatore economico nell’offerta o nella proposta, con l’obiettivo di riconoscere all’aggiudicatario una riduzione del corrispettivo</w:t>
      </w:r>
    </w:p>
    <w:p w14:paraId="4E63EA63" w14:textId="77777777" w:rsidR="005F47CB" w:rsidRPr="005F47CB" w:rsidRDefault="005F47CB" w:rsidP="005F47CB">
      <w:pPr>
        <w:jc w:val="center"/>
        <w:rPr>
          <w:rFonts w:ascii="Arial" w:hAnsi="Arial" w:cs="Arial"/>
          <w:color w:val="000000"/>
        </w:rPr>
      </w:pPr>
    </w:p>
    <w:p w14:paraId="5356447D" w14:textId="7460D9F7" w:rsidR="005F47CB" w:rsidRDefault="005F47CB" w:rsidP="005F47CB">
      <w:pPr>
        <w:jc w:val="both"/>
        <w:rPr>
          <w:rFonts w:ascii="Arial" w:hAnsi="Arial" w:cs="Arial"/>
          <w:color w:val="000000"/>
        </w:rPr>
      </w:pPr>
      <w:r w:rsidRPr="005F47CB">
        <w:rPr>
          <w:rFonts w:ascii="Arial" w:hAnsi="Arial" w:cs="Arial"/>
          <w:i/>
          <w:iCs/>
          <w:color w:val="000000"/>
        </w:rPr>
        <w:t>Roma, 10 dicembre 2025 –</w:t>
      </w:r>
      <w:r w:rsidRPr="005F47CB">
        <w:rPr>
          <w:rFonts w:ascii="Arial" w:hAnsi="Arial" w:cs="Arial"/>
          <w:color w:val="000000"/>
        </w:rPr>
        <w:t xml:space="preserve"> Esaminare la possibilità per le </w:t>
      </w:r>
      <w:r w:rsidRPr="005F47CB">
        <w:rPr>
          <w:rFonts w:ascii="Arial" w:hAnsi="Arial" w:cs="Arial"/>
          <w:b/>
          <w:bCs/>
          <w:color w:val="000000"/>
        </w:rPr>
        <w:t>amministrazioni pubbliche</w:t>
      </w:r>
      <w:r w:rsidRPr="005F47CB">
        <w:rPr>
          <w:rFonts w:ascii="Arial" w:hAnsi="Arial" w:cs="Arial"/>
          <w:color w:val="000000"/>
        </w:rPr>
        <w:t xml:space="preserve"> di adottare - nell’ambito di </w:t>
      </w:r>
      <w:r w:rsidRPr="005F47CB">
        <w:rPr>
          <w:rFonts w:ascii="Arial" w:hAnsi="Arial" w:cs="Arial"/>
          <w:b/>
          <w:bCs/>
          <w:color w:val="000000"/>
        </w:rPr>
        <w:t>procedure di dismissione</w:t>
      </w:r>
      <w:r w:rsidRPr="005F47CB">
        <w:rPr>
          <w:rFonts w:ascii="Arial" w:hAnsi="Arial" w:cs="Arial"/>
          <w:color w:val="000000"/>
        </w:rPr>
        <w:t xml:space="preserve"> (per la vendita, conferimento, locazione, concessione del bene) - un </w:t>
      </w:r>
      <w:r w:rsidRPr="005F47CB">
        <w:rPr>
          <w:rFonts w:ascii="Arial" w:hAnsi="Arial" w:cs="Arial"/>
          <w:b/>
          <w:bCs/>
          <w:color w:val="000000"/>
        </w:rPr>
        <w:t>metodo valutativo</w:t>
      </w:r>
      <w:r w:rsidRPr="005F47CB">
        <w:rPr>
          <w:rFonts w:ascii="Arial" w:hAnsi="Arial" w:cs="Arial"/>
          <w:color w:val="000000"/>
        </w:rPr>
        <w:t> che attribuisca rilievo all’</w:t>
      </w:r>
      <w:r w:rsidRPr="005F47CB">
        <w:rPr>
          <w:rFonts w:ascii="Arial" w:hAnsi="Arial" w:cs="Arial"/>
          <w:b/>
          <w:bCs/>
          <w:color w:val="000000"/>
        </w:rPr>
        <w:t>impatto sociale</w:t>
      </w:r>
      <w:r w:rsidRPr="005F47CB">
        <w:rPr>
          <w:rFonts w:ascii="Arial" w:hAnsi="Arial" w:cs="Arial"/>
          <w:color w:val="000000"/>
        </w:rPr>
        <w:t xml:space="preserve"> e </w:t>
      </w:r>
      <w:r w:rsidRPr="005F47CB">
        <w:rPr>
          <w:rFonts w:ascii="Arial" w:hAnsi="Arial" w:cs="Arial"/>
          <w:b/>
          <w:bCs/>
          <w:color w:val="000000"/>
        </w:rPr>
        <w:t>ambientale</w:t>
      </w:r>
      <w:r w:rsidRPr="005F47CB">
        <w:rPr>
          <w:rFonts w:ascii="Arial" w:hAnsi="Arial" w:cs="Arial"/>
          <w:color w:val="000000"/>
        </w:rPr>
        <w:t xml:space="preserve"> delle </w:t>
      </w:r>
      <w:r w:rsidRPr="005F47CB">
        <w:rPr>
          <w:rFonts w:ascii="Arial" w:hAnsi="Arial" w:cs="Arial"/>
          <w:b/>
          <w:bCs/>
          <w:color w:val="000000"/>
        </w:rPr>
        <w:t>obbligazioni non monetarie</w:t>
      </w:r>
      <w:r w:rsidRPr="005F47CB">
        <w:rPr>
          <w:rFonts w:ascii="Arial" w:hAnsi="Arial" w:cs="Arial"/>
          <w:color w:val="000000"/>
        </w:rPr>
        <w:t> assunte dall’operatore economico</w:t>
      </w:r>
      <w:r w:rsidR="005F7E14">
        <w:rPr>
          <w:rFonts w:ascii="Arial" w:hAnsi="Arial" w:cs="Arial"/>
          <w:color w:val="000000"/>
        </w:rPr>
        <w:t xml:space="preserve"> nell’offerta </w:t>
      </w:r>
      <w:r w:rsidRPr="005F47CB">
        <w:rPr>
          <w:rFonts w:ascii="Arial" w:hAnsi="Arial" w:cs="Arial"/>
          <w:color w:val="000000"/>
        </w:rPr>
        <w:t>o nella proposta e, per tale via, di riconoscere all’</w:t>
      </w:r>
      <w:r w:rsidRPr="005F47CB">
        <w:rPr>
          <w:rFonts w:ascii="Arial" w:hAnsi="Arial" w:cs="Arial"/>
          <w:b/>
          <w:bCs/>
          <w:color w:val="000000"/>
        </w:rPr>
        <w:t>aggiudicatario</w:t>
      </w:r>
      <w:r w:rsidRPr="005F47CB">
        <w:rPr>
          <w:rFonts w:ascii="Arial" w:hAnsi="Arial" w:cs="Arial"/>
          <w:color w:val="000000"/>
        </w:rPr>
        <w:t xml:space="preserve"> una </w:t>
      </w:r>
      <w:r w:rsidRPr="005F47CB">
        <w:rPr>
          <w:rFonts w:ascii="Arial" w:hAnsi="Arial" w:cs="Arial"/>
          <w:b/>
          <w:bCs/>
          <w:color w:val="000000"/>
        </w:rPr>
        <w:t>riduzione</w:t>
      </w:r>
      <w:r w:rsidRPr="005F47CB">
        <w:rPr>
          <w:rFonts w:ascii="Arial" w:hAnsi="Arial" w:cs="Arial"/>
          <w:color w:val="000000"/>
        </w:rPr>
        <w:t xml:space="preserve"> del </w:t>
      </w:r>
      <w:r w:rsidRPr="005F47CB">
        <w:rPr>
          <w:rFonts w:ascii="Arial" w:hAnsi="Arial" w:cs="Arial"/>
          <w:b/>
          <w:bCs/>
          <w:color w:val="000000"/>
        </w:rPr>
        <w:t xml:space="preserve">corrispettivo monetario </w:t>
      </w:r>
      <w:r w:rsidRPr="005F47CB">
        <w:rPr>
          <w:rFonts w:ascii="Arial" w:hAnsi="Arial" w:cs="Arial"/>
          <w:color w:val="000000"/>
        </w:rPr>
        <w:t xml:space="preserve">in misura pari allo stesso impatto sociale e ambientale. È la finalità di un documento pubblicato dal Consiglio Nazionale dei Dottori Commercialisti e degli Esperti Contabili presieduto da </w:t>
      </w:r>
      <w:r w:rsidRPr="005F47CB">
        <w:rPr>
          <w:rFonts w:ascii="Arial" w:hAnsi="Arial" w:cs="Arial"/>
          <w:b/>
          <w:bCs/>
          <w:color w:val="000000"/>
        </w:rPr>
        <w:t>Elbano de Nuccio</w:t>
      </w:r>
      <w:r w:rsidRPr="005F47CB">
        <w:rPr>
          <w:rFonts w:ascii="Arial" w:hAnsi="Arial" w:cs="Arial"/>
          <w:color w:val="000000"/>
        </w:rPr>
        <w:t xml:space="preserve">, per mezzo dell’Osservatorio Enti Pubblici e Società partecipate, coordinato da </w:t>
      </w:r>
      <w:r w:rsidRPr="005F47CB">
        <w:rPr>
          <w:rFonts w:ascii="Arial" w:hAnsi="Arial" w:cs="Arial"/>
          <w:b/>
          <w:bCs/>
          <w:color w:val="000000"/>
        </w:rPr>
        <w:t>Davide Di Russo</w:t>
      </w:r>
      <w:r w:rsidRPr="005F47CB">
        <w:rPr>
          <w:rFonts w:ascii="Arial" w:hAnsi="Arial" w:cs="Arial"/>
          <w:color w:val="000000"/>
        </w:rPr>
        <w:t>.</w:t>
      </w:r>
    </w:p>
    <w:p w14:paraId="755AC9A9" w14:textId="77777777" w:rsidR="005F47CB" w:rsidRPr="005F47CB" w:rsidRDefault="005F47CB" w:rsidP="005F47CB">
      <w:pPr>
        <w:jc w:val="both"/>
        <w:rPr>
          <w:rFonts w:ascii="Arial" w:hAnsi="Arial" w:cs="Arial"/>
          <w:color w:val="000000"/>
        </w:rPr>
      </w:pPr>
    </w:p>
    <w:p w14:paraId="2F8E5683" w14:textId="77777777" w:rsidR="005F47CB" w:rsidRDefault="005F47CB" w:rsidP="005F47CB">
      <w:pPr>
        <w:jc w:val="both"/>
        <w:rPr>
          <w:rFonts w:ascii="Arial" w:hAnsi="Arial" w:cs="Arial"/>
          <w:color w:val="000000"/>
        </w:rPr>
      </w:pPr>
      <w:r w:rsidRPr="005F47CB">
        <w:rPr>
          <w:rFonts w:ascii="Arial" w:hAnsi="Arial" w:cs="Arial"/>
          <w:color w:val="000000"/>
        </w:rPr>
        <w:t xml:space="preserve">Quella analizzata nel documento è un’opzione in grado di </w:t>
      </w:r>
      <w:r w:rsidRPr="005F47CB">
        <w:rPr>
          <w:rFonts w:ascii="Arial" w:hAnsi="Arial" w:cs="Arial"/>
          <w:b/>
          <w:bCs/>
          <w:color w:val="000000"/>
        </w:rPr>
        <w:t>agevolare</w:t>
      </w:r>
      <w:r w:rsidRPr="005F47CB">
        <w:rPr>
          <w:rFonts w:ascii="Arial" w:hAnsi="Arial" w:cs="Arial"/>
          <w:color w:val="000000"/>
        </w:rPr>
        <w:t xml:space="preserve"> gestione, valorizzazione e dismissione del </w:t>
      </w:r>
      <w:r w:rsidRPr="005F47CB">
        <w:rPr>
          <w:rFonts w:ascii="Arial" w:hAnsi="Arial" w:cs="Arial"/>
          <w:b/>
          <w:bCs/>
          <w:color w:val="000000"/>
        </w:rPr>
        <w:t>patrimonio pubblico</w:t>
      </w:r>
      <w:r w:rsidRPr="005F47CB">
        <w:rPr>
          <w:rFonts w:ascii="Arial" w:hAnsi="Arial" w:cs="Arial"/>
          <w:color w:val="000000"/>
        </w:rPr>
        <w:t xml:space="preserve">, soprattutto a favore di quelle amministrazioni che, nel tentare di dare concretezza alle strategie politiche in materia, si scontrano con </w:t>
      </w:r>
      <w:r w:rsidRPr="005F47CB">
        <w:rPr>
          <w:rFonts w:ascii="Arial" w:hAnsi="Arial" w:cs="Arial"/>
          <w:b/>
          <w:bCs/>
          <w:color w:val="000000"/>
        </w:rPr>
        <w:t>carenze organizzative</w:t>
      </w:r>
      <w:r w:rsidRPr="005F47CB">
        <w:rPr>
          <w:rFonts w:ascii="Arial" w:hAnsi="Arial" w:cs="Arial"/>
          <w:color w:val="000000"/>
        </w:rPr>
        <w:t xml:space="preserve">, che rendono </w:t>
      </w:r>
      <w:r w:rsidRPr="005F47CB">
        <w:rPr>
          <w:rFonts w:ascii="Arial" w:hAnsi="Arial" w:cs="Arial"/>
          <w:b/>
          <w:bCs/>
          <w:color w:val="000000"/>
        </w:rPr>
        <w:t>inefficiente</w:t>
      </w:r>
      <w:r w:rsidRPr="005F47CB">
        <w:rPr>
          <w:rFonts w:ascii="Arial" w:hAnsi="Arial" w:cs="Arial"/>
          <w:color w:val="000000"/>
        </w:rPr>
        <w:t xml:space="preserve"> la gestione diretta del bene, o con l’</w:t>
      </w:r>
      <w:r w:rsidRPr="005F47CB">
        <w:rPr>
          <w:rFonts w:ascii="Arial" w:hAnsi="Arial" w:cs="Arial"/>
          <w:b/>
          <w:bCs/>
          <w:color w:val="000000"/>
        </w:rPr>
        <w:t>assenza di risposte dal mercato</w:t>
      </w:r>
      <w:r w:rsidRPr="005F47CB">
        <w:rPr>
          <w:rFonts w:ascii="Arial" w:hAnsi="Arial" w:cs="Arial"/>
          <w:color w:val="000000"/>
        </w:rPr>
        <w:t>, che non manifesta interesse all’acquisizione o gestione del bene.</w:t>
      </w:r>
    </w:p>
    <w:p w14:paraId="4A8D31A3" w14:textId="77777777" w:rsidR="005F47CB" w:rsidRPr="005F47CB" w:rsidRDefault="005F47CB" w:rsidP="005F47CB">
      <w:pPr>
        <w:jc w:val="both"/>
        <w:rPr>
          <w:rFonts w:ascii="Arial" w:hAnsi="Arial" w:cs="Arial"/>
          <w:color w:val="000000"/>
        </w:rPr>
      </w:pPr>
    </w:p>
    <w:p w14:paraId="0299B709" w14:textId="77777777" w:rsidR="005F47CB" w:rsidRDefault="005F47CB" w:rsidP="005F47CB">
      <w:pPr>
        <w:jc w:val="both"/>
        <w:rPr>
          <w:rFonts w:ascii="Arial" w:hAnsi="Arial" w:cs="Arial"/>
          <w:color w:val="000000"/>
        </w:rPr>
      </w:pPr>
      <w:r w:rsidRPr="005F47CB">
        <w:rPr>
          <w:rFonts w:ascii="Arial" w:hAnsi="Arial" w:cs="Arial"/>
          <w:color w:val="000000"/>
        </w:rPr>
        <w:t xml:space="preserve">La chiave in grado di rendere legittima tale possibilità risiede nella </w:t>
      </w:r>
      <w:r w:rsidRPr="005F47CB">
        <w:rPr>
          <w:rFonts w:ascii="Arial" w:hAnsi="Arial" w:cs="Arial"/>
          <w:b/>
          <w:bCs/>
          <w:color w:val="000000"/>
        </w:rPr>
        <w:t>scientifica predeterminazione</w:t>
      </w:r>
      <w:r w:rsidRPr="005F47CB">
        <w:rPr>
          <w:rFonts w:ascii="Arial" w:hAnsi="Arial" w:cs="Arial"/>
          <w:color w:val="000000"/>
        </w:rPr>
        <w:t xml:space="preserve"> dei criteri, indicatori, scale di misurazione, pesi, funzioni che conducono alla definizione, in forma </w:t>
      </w:r>
      <w:r w:rsidRPr="005F47CB">
        <w:rPr>
          <w:rFonts w:ascii="Arial" w:hAnsi="Arial" w:cs="Arial"/>
          <w:b/>
          <w:bCs/>
          <w:color w:val="000000"/>
        </w:rPr>
        <w:t>obiettiva e trasparente</w:t>
      </w:r>
      <w:r w:rsidRPr="005F47CB">
        <w:rPr>
          <w:rFonts w:ascii="Arial" w:hAnsi="Arial" w:cs="Arial"/>
          <w:color w:val="000000"/>
        </w:rPr>
        <w:t xml:space="preserve">, del </w:t>
      </w:r>
      <w:r w:rsidRPr="005F47CB">
        <w:rPr>
          <w:rFonts w:ascii="Arial" w:hAnsi="Arial" w:cs="Arial"/>
          <w:b/>
          <w:bCs/>
          <w:color w:val="000000"/>
        </w:rPr>
        <w:t>valore economico</w:t>
      </w:r>
      <w:r w:rsidRPr="005F47CB">
        <w:rPr>
          <w:rFonts w:ascii="Arial" w:hAnsi="Arial" w:cs="Arial"/>
          <w:color w:val="000000"/>
        </w:rPr>
        <w:t xml:space="preserve"> da attribuire a obbligazioni di </w:t>
      </w:r>
      <w:r w:rsidRPr="005F47CB">
        <w:rPr>
          <w:rFonts w:ascii="Arial" w:hAnsi="Arial" w:cs="Arial"/>
          <w:i/>
          <w:iCs/>
          <w:color w:val="000000"/>
        </w:rPr>
        <w:t>facere</w:t>
      </w:r>
      <w:r w:rsidRPr="005F47CB">
        <w:rPr>
          <w:rFonts w:ascii="Arial" w:hAnsi="Arial" w:cs="Arial"/>
          <w:color w:val="000000"/>
        </w:rPr>
        <w:t xml:space="preserve"> (rilevanti sul piano sociale e ambientale) a </w:t>
      </w:r>
      <w:r w:rsidRPr="005F47CB">
        <w:rPr>
          <w:rFonts w:ascii="Arial" w:hAnsi="Arial" w:cs="Arial"/>
          <w:b/>
          <w:bCs/>
          <w:color w:val="000000"/>
        </w:rPr>
        <w:t>proporzionale compensazione</w:t>
      </w:r>
      <w:r w:rsidRPr="005F47CB">
        <w:rPr>
          <w:rFonts w:ascii="Arial" w:hAnsi="Arial" w:cs="Arial"/>
          <w:color w:val="000000"/>
        </w:rPr>
        <w:t xml:space="preserve"> di una </w:t>
      </w:r>
      <w:r w:rsidRPr="005F47CB">
        <w:rPr>
          <w:rFonts w:ascii="Arial" w:hAnsi="Arial" w:cs="Arial"/>
          <w:b/>
          <w:bCs/>
          <w:color w:val="000000"/>
        </w:rPr>
        <w:t>frazione del corrispettivo monetario</w:t>
      </w:r>
      <w:r w:rsidRPr="005F47CB">
        <w:rPr>
          <w:rFonts w:ascii="Arial" w:hAnsi="Arial" w:cs="Arial"/>
          <w:color w:val="000000"/>
        </w:rPr>
        <w:t>.</w:t>
      </w:r>
    </w:p>
    <w:p w14:paraId="57B8B166" w14:textId="77777777" w:rsidR="005F47CB" w:rsidRPr="005F47CB" w:rsidRDefault="005F47CB" w:rsidP="005F47CB">
      <w:pPr>
        <w:jc w:val="both"/>
        <w:rPr>
          <w:rFonts w:ascii="Arial" w:hAnsi="Arial" w:cs="Arial"/>
          <w:color w:val="000000"/>
        </w:rPr>
      </w:pPr>
    </w:p>
    <w:p w14:paraId="5E0F86C5" w14:textId="77777777" w:rsidR="005F47CB" w:rsidRPr="005F47CB" w:rsidRDefault="005F47CB" w:rsidP="005F47CB">
      <w:pPr>
        <w:jc w:val="both"/>
        <w:rPr>
          <w:rFonts w:ascii="Arial" w:hAnsi="Arial" w:cs="Arial"/>
          <w:color w:val="000000"/>
        </w:rPr>
      </w:pPr>
      <w:r w:rsidRPr="005F47CB">
        <w:rPr>
          <w:rFonts w:ascii="Arial" w:hAnsi="Arial" w:cs="Arial"/>
          <w:color w:val="000000"/>
        </w:rPr>
        <w:t xml:space="preserve">Applicando il </w:t>
      </w:r>
      <w:r w:rsidRPr="005F47CB">
        <w:rPr>
          <w:rFonts w:ascii="Arial" w:hAnsi="Arial" w:cs="Arial"/>
          <w:b/>
          <w:bCs/>
          <w:color w:val="000000"/>
        </w:rPr>
        <w:t xml:space="preserve">modello di calcolo computazionale MAVT (Multiple </w:t>
      </w:r>
      <w:proofErr w:type="spellStart"/>
      <w:r w:rsidRPr="005F47CB">
        <w:rPr>
          <w:rFonts w:ascii="Arial" w:hAnsi="Arial" w:cs="Arial"/>
          <w:b/>
          <w:bCs/>
          <w:color w:val="000000"/>
        </w:rPr>
        <w:t>Attribute</w:t>
      </w:r>
      <w:proofErr w:type="spellEnd"/>
      <w:r w:rsidRPr="005F47CB">
        <w:rPr>
          <w:rFonts w:ascii="Arial" w:hAnsi="Arial" w:cs="Arial"/>
          <w:b/>
          <w:bCs/>
          <w:color w:val="000000"/>
        </w:rPr>
        <w:t xml:space="preserve"> Value Theory)</w:t>
      </w:r>
      <w:r w:rsidRPr="005F47CB">
        <w:rPr>
          <w:rFonts w:ascii="Arial" w:hAnsi="Arial" w:cs="Arial"/>
          <w:color w:val="000000"/>
        </w:rPr>
        <w:t xml:space="preserve"> – elaborato nell’ambito di un progetto di ricerca finanziato dalla </w:t>
      </w:r>
      <w:r w:rsidRPr="005F47CB">
        <w:rPr>
          <w:rFonts w:ascii="Arial" w:hAnsi="Arial" w:cs="Arial"/>
          <w:b/>
          <w:bCs/>
          <w:color w:val="000000"/>
        </w:rPr>
        <w:t>Compagnia di San Paolo</w:t>
      </w:r>
      <w:r w:rsidRPr="005F47CB">
        <w:rPr>
          <w:rFonts w:ascii="Arial" w:hAnsi="Arial" w:cs="Arial"/>
          <w:color w:val="000000"/>
        </w:rPr>
        <w:t xml:space="preserve"> dal Centro di competenze sulla valutazione dell’impatto della </w:t>
      </w:r>
      <w:r w:rsidRPr="005F47CB">
        <w:rPr>
          <w:rFonts w:ascii="Arial" w:hAnsi="Arial" w:cs="Arial"/>
          <w:b/>
          <w:bCs/>
          <w:color w:val="000000"/>
        </w:rPr>
        <w:t>CCIAA di Torino</w:t>
      </w:r>
      <w:r w:rsidRPr="005F47CB">
        <w:rPr>
          <w:rFonts w:ascii="Arial" w:hAnsi="Arial" w:cs="Arial"/>
          <w:color w:val="000000"/>
        </w:rPr>
        <w:t xml:space="preserve"> e della </w:t>
      </w:r>
      <w:r w:rsidRPr="005F47CB">
        <w:rPr>
          <w:rFonts w:ascii="Arial" w:hAnsi="Arial" w:cs="Arial"/>
          <w:b/>
          <w:bCs/>
          <w:color w:val="000000"/>
        </w:rPr>
        <w:t>Fondazione Cottino</w:t>
      </w:r>
      <w:r w:rsidRPr="005F47CB">
        <w:rPr>
          <w:rFonts w:ascii="Arial" w:hAnsi="Arial" w:cs="Arial"/>
          <w:color w:val="000000"/>
        </w:rPr>
        <w:t xml:space="preserve">, con un gruppo di esperti del </w:t>
      </w:r>
      <w:r w:rsidRPr="005F47CB">
        <w:rPr>
          <w:rFonts w:ascii="Arial" w:hAnsi="Arial" w:cs="Arial"/>
          <w:b/>
          <w:bCs/>
          <w:color w:val="000000"/>
        </w:rPr>
        <w:t>Politecnico di Torino</w:t>
      </w:r>
      <w:r w:rsidRPr="005F47CB">
        <w:rPr>
          <w:rFonts w:ascii="Arial" w:hAnsi="Arial" w:cs="Arial"/>
          <w:color w:val="000000"/>
        </w:rPr>
        <w:t xml:space="preserve">, del </w:t>
      </w:r>
      <w:r w:rsidRPr="005F47CB">
        <w:rPr>
          <w:rFonts w:ascii="Arial" w:hAnsi="Arial" w:cs="Arial"/>
          <w:b/>
          <w:bCs/>
          <w:color w:val="000000"/>
        </w:rPr>
        <w:t>Politecnico di Milano</w:t>
      </w:r>
      <w:r w:rsidRPr="005F47CB">
        <w:rPr>
          <w:rFonts w:ascii="Arial" w:hAnsi="Arial" w:cs="Arial"/>
          <w:color w:val="000000"/>
        </w:rPr>
        <w:t>, dell’</w:t>
      </w:r>
      <w:r w:rsidRPr="005F47CB">
        <w:rPr>
          <w:rFonts w:ascii="Arial" w:hAnsi="Arial" w:cs="Arial"/>
          <w:b/>
          <w:bCs/>
          <w:color w:val="000000"/>
        </w:rPr>
        <w:t>Università di Torino</w:t>
      </w:r>
      <w:r w:rsidRPr="005F47CB">
        <w:rPr>
          <w:rFonts w:ascii="Arial" w:hAnsi="Arial" w:cs="Arial"/>
          <w:color w:val="000000"/>
        </w:rPr>
        <w:t xml:space="preserve"> e del </w:t>
      </w:r>
      <w:r w:rsidRPr="005F47CB">
        <w:rPr>
          <w:rFonts w:ascii="Arial" w:hAnsi="Arial" w:cs="Arial"/>
          <w:b/>
          <w:bCs/>
          <w:color w:val="000000"/>
        </w:rPr>
        <w:t>Collegio Carlo Alberto</w:t>
      </w:r>
      <w:r w:rsidRPr="005F47CB">
        <w:rPr>
          <w:rFonts w:ascii="Arial" w:hAnsi="Arial" w:cs="Arial"/>
          <w:color w:val="000000"/>
        </w:rPr>
        <w:t xml:space="preserve">, il documento evidenzia la </w:t>
      </w:r>
      <w:r w:rsidRPr="005F47CB">
        <w:rPr>
          <w:rFonts w:ascii="Arial" w:hAnsi="Arial" w:cs="Arial"/>
          <w:b/>
          <w:bCs/>
          <w:color w:val="000000"/>
        </w:rPr>
        <w:t>compatibilità</w:t>
      </w:r>
      <w:r w:rsidRPr="005F47CB">
        <w:rPr>
          <w:rFonts w:ascii="Arial" w:hAnsi="Arial" w:cs="Arial"/>
          <w:color w:val="000000"/>
        </w:rPr>
        <w:t xml:space="preserve"> di questa soluzione con il quadro normativo e giurisprudenziale, descrive le </w:t>
      </w:r>
      <w:r w:rsidRPr="005F47CB">
        <w:rPr>
          <w:rFonts w:ascii="Arial" w:hAnsi="Arial" w:cs="Arial"/>
          <w:b/>
          <w:bCs/>
          <w:color w:val="000000"/>
        </w:rPr>
        <w:t>modalità</w:t>
      </w:r>
      <w:r w:rsidRPr="005F47CB">
        <w:rPr>
          <w:rFonts w:ascii="Arial" w:hAnsi="Arial" w:cs="Arial"/>
          <w:color w:val="000000"/>
        </w:rPr>
        <w:t xml:space="preserve"> di elaborazione, adozione e funzionamento del modello e sottolinea la possibilità di un suo </w:t>
      </w:r>
      <w:r w:rsidRPr="005F47CB">
        <w:rPr>
          <w:rFonts w:ascii="Arial" w:hAnsi="Arial" w:cs="Arial"/>
          <w:b/>
          <w:bCs/>
          <w:color w:val="000000"/>
        </w:rPr>
        <w:t>impiego generalizzato</w:t>
      </w:r>
      <w:r w:rsidRPr="005F47CB">
        <w:rPr>
          <w:rFonts w:ascii="Arial" w:hAnsi="Arial" w:cs="Arial"/>
          <w:color w:val="000000"/>
        </w:rPr>
        <w:t xml:space="preserve">, previo adattamento alle specificità del caso concreto all’esito di un processo condiviso tra amministrazione e portatori di interesse. Il lavoro approfondisce, in particolare, il tema della </w:t>
      </w:r>
      <w:r w:rsidRPr="005F47CB">
        <w:rPr>
          <w:rFonts w:ascii="Arial" w:hAnsi="Arial" w:cs="Arial"/>
          <w:b/>
          <w:bCs/>
          <w:color w:val="000000"/>
        </w:rPr>
        <w:t>discrezionalità</w:t>
      </w:r>
      <w:r w:rsidRPr="005F47CB">
        <w:rPr>
          <w:rFonts w:ascii="Arial" w:hAnsi="Arial" w:cs="Arial"/>
          <w:color w:val="000000"/>
        </w:rPr>
        <w:t xml:space="preserve"> dell’amministrazione nel definire e utilizzare il modello, nonché delle </w:t>
      </w:r>
      <w:r w:rsidRPr="005F47CB">
        <w:rPr>
          <w:rFonts w:ascii="Arial" w:hAnsi="Arial" w:cs="Arial"/>
          <w:b/>
          <w:bCs/>
          <w:color w:val="000000"/>
        </w:rPr>
        <w:t>cautele</w:t>
      </w:r>
      <w:r w:rsidRPr="005F47CB">
        <w:rPr>
          <w:rFonts w:ascii="Arial" w:hAnsi="Arial" w:cs="Arial"/>
          <w:color w:val="000000"/>
        </w:rPr>
        <w:t xml:space="preserve"> volte a prevenire </w:t>
      </w:r>
      <w:r w:rsidRPr="005F47CB">
        <w:rPr>
          <w:rFonts w:ascii="Arial" w:hAnsi="Arial" w:cs="Arial"/>
          <w:b/>
          <w:bCs/>
          <w:color w:val="000000"/>
        </w:rPr>
        <w:t>ricadute negative</w:t>
      </w:r>
      <w:r w:rsidRPr="005F47CB">
        <w:rPr>
          <w:rFonts w:ascii="Arial" w:hAnsi="Arial" w:cs="Arial"/>
          <w:color w:val="000000"/>
        </w:rPr>
        <w:t> sul piano dell’</w:t>
      </w:r>
      <w:r w:rsidRPr="005F47CB">
        <w:rPr>
          <w:rFonts w:ascii="Arial" w:hAnsi="Arial" w:cs="Arial"/>
          <w:b/>
          <w:bCs/>
          <w:color w:val="000000"/>
        </w:rPr>
        <w:t>interesse pubblico</w:t>
      </w:r>
      <w:r w:rsidRPr="005F47CB">
        <w:rPr>
          <w:rFonts w:ascii="Arial" w:hAnsi="Arial" w:cs="Arial"/>
          <w:color w:val="000000"/>
        </w:rPr>
        <w:t xml:space="preserve"> e della </w:t>
      </w:r>
      <w:r w:rsidRPr="005F47CB">
        <w:rPr>
          <w:rFonts w:ascii="Arial" w:hAnsi="Arial" w:cs="Arial"/>
          <w:b/>
          <w:bCs/>
          <w:color w:val="000000"/>
        </w:rPr>
        <w:t>responsabilità erariale</w:t>
      </w:r>
      <w:r w:rsidRPr="005F47CB">
        <w:rPr>
          <w:rFonts w:ascii="Arial" w:hAnsi="Arial" w:cs="Arial"/>
          <w:color w:val="000000"/>
        </w:rPr>
        <w:t>.</w:t>
      </w:r>
    </w:p>
    <w:p w14:paraId="4344456B" w14:textId="5FF29380" w:rsidR="00C7553E" w:rsidRPr="00B42FA4" w:rsidRDefault="00C7553E" w:rsidP="005F47CB">
      <w:pPr>
        <w:pStyle w:val="atext"/>
        <w:shd w:val="clear" w:color="auto" w:fill="FFFFFF"/>
        <w:spacing w:before="0" w:beforeAutospacing="0" w:after="0" w:afterAutospacing="0"/>
        <w:jc w:val="center"/>
        <w:rPr>
          <w:sz w:val="23"/>
          <w:szCs w:val="23"/>
        </w:rPr>
      </w:pPr>
    </w:p>
    <w:sectPr w:rsidR="00C7553E" w:rsidRPr="00B42FA4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C7AF3" w14:textId="77777777" w:rsidR="00784217" w:rsidRDefault="00784217" w:rsidP="00A57D38">
      <w:r>
        <w:separator/>
      </w:r>
    </w:p>
  </w:endnote>
  <w:endnote w:type="continuationSeparator" w:id="0">
    <w:p w14:paraId="46F0FE38" w14:textId="77777777" w:rsidR="00784217" w:rsidRDefault="00784217" w:rsidP="00A57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12266" w14:textId="77777777" w:rsidR="00784217" w:rsidRDefault="00784217" w:rsidP="00A57D38">
      <w:r>
        <w:separator/>
      </w:r>
    </w:p>
  </w:footnote>
  <w:footnote w:type="continuationSeparator" w:id="0">
    <w:p w14:paraId="7C6FD4AE" w14:textId="77777777" w:rsidR="00784217" w:rsidRDefault="00784217" w:rsidP="00A57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010A1" w14:textId="54DE1EA9" w:rsidR="00A57D38" w:rsidRDefault="00A57D38" w:rsidP="00A57D38">
    <w:pPr>
      <w:pStyle w:val="Intestazione"/>
      <w:jc w:val="center"/>
    </w:pPr>
    <w:r w:rsidRPr="00F6138D">
      <w:rPr>
        <w:noProof/>
        <w:lang w:eastAsia="it-IT"/>
      </w:rPr>
      <w:drawing>
        <wp:inline distT="0" distB="0" distL="0" distR="0" wp14:anchorId="45169683" wp14:editId="3070078B">
          <wp:extent cx="2314575" cy="781050"/>
          <wp:effectExtent l="0" t="0" r="0" b="0"/>
          <wp:docPr id="1109192327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78E961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916C44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35792339"/>
    <w:multiLevelType w:val="hybridMultilevel"/>
    <w:tmpl w:val="84D8D5A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000486"/>
    <w:multiLevelType w:val="hybridMultilevel"/>
    <w:tmpl w:val="FFFFFFFF"/>
    <w:lvl w:ilvl="0" w:tplc="FFFFFFFF">
      <w:start w:val="1"/>
      <w:numFmt w:val="lowerLetter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353922285">
    <w:abstractNumId w:val="1"/>
  </w:num>
  <w:num w:numId="2" w16cid:durableId="47654393">
    <w:abstractNumId w:val="3"/>
  </w:num>
  <w:num w:numId="3" w16cid:durableId="149905896">
    <w:abstractNumId w:val="0"/>
  </w:num>
  <w:num w:numId="4" w16cid:durableId="1667924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B20"/>
    <w:rsid w:val="00000B32"/>
    <w:rsid w:val="000130DF"/>
    <w:rsid w:val="00030943"/>
    <w:rsid w:val="00062DEE"/>
    <w:rsid w:val="000826A4"/>
    <w:rsid w:val="000B02CC"/>
    <w:rsid w:val="000D5879"/>
    <w:rsid w:val="000F7086"/>
    <w:rsid w:val="001000ED"/>
    <w:rsid w:val="00135FBD"/>
    <w:rsid w:val="001B1AFB"/>
    <w:rsid w:val="00206F99"/>
    <w:rsid w:val="00227893"/>
    <w:rsid w:val="00234E76"/>
    <w:rsid w:val="0024138A"/>
    <w:rsid w:val="002B1079"/>
    <w:rsid w:val="002D511F"/>
    <w:rsid w:val="00300C69"/>
    <w:rsid w:val="003507F7"/>
    <w:rsid w:val="0036302D"/>
    <w:rsid w:val="003739DF"/>
    <w:rsid w:val="003A4F3F"/>
    <w:rsid w:val="003B5D81"/>
    <w:rsid w:val="003B6B20"/>
    <w:rsid w:val="003C6E20"/>
    <w:rsid w:val="003F5D99"/>
    <w:rsid w:val="004358CF"/>
    <w:rsid w:val="004415FD"/>
    <w:rsid w:val="00474973"/>
    <w:rsid w:val="004E2BA6"/>
    <w:rsid w:val="00522640"/>
    <w:rsid w:val="005315AC"/>
    <w:rsid w:val="00532E2E"/>
    <w:rsid w:val="005416BD"/>
    <w:rsid w:val="00543A7A"/>
    <w:rsid w:val="0056307D"/>
    <w:rsid w:val="00592D37"/>
    <w:rsid w:val="005C0771"/>
    <w:rsid w:val="005F47CB"/>
    <w:rsid w:val="005F7E14"/>
    <w:rsid w:val="00600B5B"/>
    <w:rsid w:val="00607179"/>
    <w:rsid w:val="00677E20"/>
    <w:rsid w:val="006C2AEE"/>
    <w:rsid w:val="00700600"/>
    <w:rsid w:val="00713B6B"/>
    <w:rsid w:val="00727620"/>
    <w:rsid w:val="00734297"/>
    <w:rsid w:val="00784217"/>
    <w:rsid w:val="007D1184"/>
    <w:rsid w:val="007E2E1A"/>
    <w:rsid w:val="00830EF3"/>
    <w:rsid w:val="008716CB"/>
    <w:rsid w:val="008C5196"/>
    <w:rsid w:val="00901225"/>
    <w:rsid w:val="00933F3A"/>
    <w:rsid w:val="009531F7"/>
    <w:rsid w:val="00987E6C"/>
    <w:rsid w:val="0099105B"/>
    <w:rsid w:val="009B2452"/>
    <w:rsid w:val="009B3602"/>
    <w:rsid w:val="009D18F4"/>
    <w:rsid w:val="009D30A8"/>
    <w:rsid w:val="00A1045D"/>
    <w:rsid w:val="00A1160C"/>
    <w:rsid w:val="00A2019D"/>
    <w:rsid w:val="00A57D38"/>
    <w:rsid w:val="00A70B1B"/>
    <w:rsid w:val="00B071DC"/>
    <w:rsid w:val="00B33601"/>
    <w:rsid w:val="00B42FA4"/>
    <w:rsid w:val="00B51AF3"/>
    <w:rsid w:val="00B55508"/>
    <w:rsid w:val="00B619BC"/>
    <w:rsid w:val="00B92CAA"/>
    <w:rsid w:val="00BD5638"/>
    <w:rsid w:val="00BE4889"/>
    <w:rsid w:val="00BF587A"/>
    <w:rsid w:val="00C33BF2"/>
    <w:rsid w:val="00C33EDC"/>
    <w:rsid w:val="00C61F00"/>
    <w:rsid w:val="00C7553E"/>
    <w:rsid w:val="00C97980"/>
    <w:rsid w:val="00CC633C"/>
    <w:rsid w:val="00CE4415"/>
    <w:rsid w:val="00CF04A6"/>
    <w:rsid w:val="00D3740A"/>
    <w:rsid w:val="00D4602D"/>
    <w:rsid w:val="00D548C8"/>
    <w:rsid w:val="00D9199A"/>
    <w:rsid w:val="00DE44CE"/>
    <w:rsid w:val="00DF605A"/>
    <w:rsid w:val="00E14B67"/>
    <w:rsid w:val="00E23CAA"/>
    <w:rsid w:val="00E67397"/>
    <w:rsid w:val="00E7604E"/>
    <w:rsid w:val="00EA565A"/>
    <w:rsid w:val="00ED7DD3"/>
    <w:rsid w:val="00ED7FAF"/>
    <w:rsid w:val="00EF56BE"/>
    <w:rsid w:val="00F1389A"/>
    <w:rsid w:val="00F27538"/>
    <w:rsid w:val="00F75D1F"/>
    <w:rsid w:val="00FB0AA0"/>
    <w:rsid w:val="00FD3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CA505"/>
  <w15:chartTrackingRefBased/>
  <w15:docId w15:val="{918E96B5-BADA-42AC-8590-38402975C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F47CB"/>
    <w:pPr>
      <w:spacing w:after="0" w:line="240" w:lineRule="auto"/>
    </w:pPr>
    <w:rPr>
      <w:rFonts w:ascii="Aptos" w:hAnsi="Aptos" w:cs="Aptos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B6B2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B6B2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B6B2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B6B2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B6B2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B6B2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B6B2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B6B2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B6B2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B6B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B6B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B6B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B6B2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B6B2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B6B2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B6B2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B6B2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B6B2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B6B2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3B6B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B6B2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B6B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B6B20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B6B2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B6B20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3B6B2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B6B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B6B2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B6B20"/>
    <w:rPr>
      <w:b/>
      <w:bCs/>
      <w:smallCaps/>
      <w:color w:val="0F4761" w:themeColor="accent1" w:themeShade="BF"/>
      <w:spacing w:val="5"/>
    </w:rPr>
  </w:style>
  <w:style w:type="paragraph" w:customStyle="1" w:styleId="atext">
    <w:name w:val="atext"/>
    <w:basedOn w:val="Normale"/>
    <w:rsid w:val="003B6B2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A57D38"/>
    <w:pPr>
      <w:tabs>
        <w:tab w:val="center" w:pos="4819"/>
        <w:tab w:val="right" w:pos="9638"/>
      </w:tabs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57D38"/>
  </w:style>
  <w:style w:type="paragraph" w:styleId="Pidipagina">
    <w:name w:val="footer"/>
    <w:basedOn w:val="Normale"/>
    <w:link w:val="PidipaginaCarattere"/>
    <w:uiPriority w:val="99"/>
    <w:unhideWhenUsed/>
    <w:rsid w:val="00A57D3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57D38"/>
  </w:style>
  <w:style w:type="paragraph" w:styleId="NormaleWeb">
    <w:name w:val="Normal (Web)"/>
    <w:basedOn w:val="Normale"/>
    <w:uiPriority w:val="99"/>
    <w:unhideWhenUsed/>
    <w:rsid w:val="00CE441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nfasigrassetto">
    <w:name w:val="Strong"/>
    <w:basedOn w:val="Carpredefinitoparagrafo"/>
    <w:uiPriority w:val="22"/>
    <w:qFormat/>
    <w:rsid w:val="00CE4415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6C2AEE"/>
    <w:rPr>
      <w:color w:val="0000FF"/>
      <w:u w:val="single"/>
    </w:rPr>
  </w:style>
  <w:style w:type="paragraph" w:styleId="Revisione">
    <w:name w:val="Revision"/>
    <w:hidden/>
    <w:uiPriority w:val="99"/>
    <w:semiHidden/>
    <w:rsid w:val="00A1045D"/>
    <w:pPr>
      <w:spacing w:after="0" w:line="240" w:lineRule="auto"/>
    </w:pPr>
  </w:style>
  <w:style w:type="character" w:styleId="Menzionenonrisolta">
    <w:name w:val="Unresolved Mention"/>
    <w:basedOn w:val="Carpredefinitoparagrafo"/>
    <w:uiPriority w:val="99"/>
    <w:semiHidden/>
    <w:unhideWhenUsed/>
    <w:rsid w:val="009B3602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B3602"/>
    <w:rPr>
      <w:color w:val="96607D" w:themeColor="followedHyperlink"/>
      <w:u w:val="single"/>
    </w:rPr>
  </w:style>
  <w:style w:type="paragraph" w:customStyle="1" w:styleId="Corpotesto1">
    <w:name w:val="Corpo testo1"/>
    <w:basedOn w:val="Normale"/>
    <w:rsid w:val="00135FBD"/>
    <w:pPr>
      <w:spacing w:line="360" w:lineRule="auto"/>
      <w:ind w:firstLine="284"/>
      <w:jc w:val="both"/>
    </w:pPr>
    <w:rPr>
      <w:rFonts w:ascii="Times New Roman" w:eastAsia="Times New Roman" w:hAnsi="Times New Roman" w:cs="Times New Roman"/>
      <w:kern w:val="19"/>
      <w:sz w:val="22"/>
      <w:szCs w:val="20"/>
      <w:lang w:eastAsia="zh-CN"/>
    </w:rPr>
  </w:style>
  <w:style w:type="paragraph" w:styleId="Testonotaapidipagina">
    <w:name w:val="footnote text"/>
    <w:aliases w:val="Testo nota a piè di pagina Carattere Carattere Carattere Carattere Carattere Carattere Carattere Carattere Carattere Carattere,Testo nota a piè di pagina Carattere Carattere Carattere,12 pt"/>
    <w:basedOn w:val="Normale"/>
    <w:link w:val="TestonotaapidipaginaCarattere"/>
    <w:uiPriority w:val="99"/>
    <w:unhideWhenUsed/>
    <w:qFormat/>
    <w:rsid w:val="004358CF"/>
    <w:pPr>
      <w:jc w:val="both"/>
    </w:pPr>
    <w:rPr>
      <w:rFonts w:asciiTheme="minorHAnsi" w:eastAsiaTheme="minorEastAsia" w:hAnsiTheme="minorHAnsi" w:cstheme="minorBidi"/>
      <w:color w:val="595959" w:themeColor="text1" w:themeTint="A6"/>
      <w:sz w:val="20"/>
      <w:szCs w:val="20"/>
      <w:lang w:eastAsia="en-US"/>
    </w:rPr>
  </w:style>
  <w:style w:type="character" w:customStyle="1" w:styleId="TestonotaapidipaginaCarattere">
    <w:name w:val="Testo nota a piè di pagina Carattere"/>
    <w:aliases w:val="Testo nota a piè di pagina Carattere Carattere Carattere Carattere Carattere Carattere Carattere Carattere Carattere Carattere Carattere,Testo nota a piè di pagina Carattere Carattere Carattere Carattere"/>
    <w:basedOn w:val="Carpredefinitoparagrafo"/>
    <w:link w:val="Testonotaapidipagina"/>
    <w:uiPriority w:val="99"/>
    <w:rsid w:val="004358CF"/>
    <w:rPr>
      <w:rFonts w:eastAsiaTheme="minorEastAsia"/>
      <w:color w:val="595959" w:themeColor="text1" w:themeTint="A6"/>
      <w:kern w:val="0"/>
      <w:sz w:val="20"/>
      <w:szCs w:val="20"/>
      <w14:ligatures w14:val="none"/>
    </w:rPr>
  </w:style>
  <w:style w:type="character" w:styleId="Rimandonotaapidipagina">
    <w:name w:val="footnote reference"/>
    <w:aliases w:val="Rimando nota a piè di pagina 2,SUPERS,Footnote reference number,Footnote symbol,note TESI,-E Fußnotenzeichen,number,BVI fnr,Footnote,Footnote Reference Superscript,(Footnote Reference),EN Footnote Reference,Voetnootverwijzin"/>
    <w:uiPriority w:val="99"/>
    <w:unhideWhenUsed/>
    <w:qFormat/>
    <w:rsid w:val="004358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0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2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58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9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660413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776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644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7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8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2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56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9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845029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605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05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8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DE2F8-84A8-46C9-90CA-C39089A6B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9</cp:revision>
  <cp:lastPrinted>2025-11-20T08:24:00Z</cp:lastPrinted>
  <dcterms:created xsi:type="dcterms:W3CDTF">2025-12-03T14:16:00Z</dcterms:created>
  <dcterms:modified xsi:type="dcterms:W3CDTF">2025-12-10T15:58:00Z</dcterms:modified>
</cp:coreProperties>
</file>