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B8F5" w14:textId="77777777" w:rsidR="00A44026" w:rsidRPr="00B52CF5" w:rsidRDefault="00A44026" w:rsidP="00B52CF5">
      <w:pPr>
        <w:spacing w:after="0" w:line="240" w:lineRule="auto"/>
        <w:jc w:val="center"/>
        <w:rPr>
          <w:rFonts w:ascii="Arial" w:eastAsia="Calibri" w:hAnsi="Arial" w:cs="Arial"/>
          <w:b/>
          <w:bCs/>
        </w:rPr>
      </w:pPr>
    </w:p>
    <w:p w14:paraId="57F118A0" w14:textId="77777777" w:rsidR="00572560" w:rsidRPr="00B52CF5" w:rsidRDefault="00572560" w:rsidP="00B52CF5">
      <w:pPr>
        <w:spacing w:after="0" w:line="240" w:lineRule="auto"/>
        <w:jc w:val="center"/>
        <w:rPr>
          <w:rFonts w:ascii="Arial" w:eastAsia="Calibri" w:hAnsi="Arial" w:cs="Arial"/>
          <w:b/>
          <w:bCs/>
          <w:u w:val="single"/>
        </w:rPr>
      </w:pPr>
      <w:r w:rsidRPr="00B52CF5">
        <w:rPr>
          <w:rFonts w:ascii="Arial" w:eastAsia="Calibri" w:hAnsi="Arial" w:cs="Arial"/>
          <w:b/>
          <w:bCs/>
          <w:u w:val="single"/>
        </w:rPr>
        <w:t>Comunicato stampa</w:t>
      </w:r>
    </w:p>
    <w:p w14:paraId="6494759F" w14:textId="77777777" w:rsidR="00572560" w:rsidRPr="00B52CF5" w:rsidRDefault="00572560" w:rsidP="00B52CF5">
      <w:pPr>
        <w:spacing w:after="0" w:line="240" w:lineRule="auto"/>
        <w:jc w:val="center"/>
        <w:rPr>
          <w:rFonts w:ascii="Arial" w:eastAsia="Calibri" w:hAnsi="Arial" w:cs="Arial"/>
          <w:b/>
          <w:bCs/>
        </w:rPr>
      </w:pPr>
    </w:p>
    <w:p w14:paraId="0C5952FB" w14:textId="15BF651A" w:rsidR="00B52CF5" w:rsidRPr="00B52CF5" w:rsidRDefault="00B52CF5" w:rsidP="00B52CF5">
      <w:pPr>
        <w:spacing w:after="0" w:line="240" w:lineRule="auto"/>
        <w:jc w:val="center"/>
        <w:rPr>
          <w:rFonts w:ascii="Arial" w:hAnsi="Arial" w:cs="Arial"/>
          <w:b/>
          <w:bCs/>
          <w:lang w:eastAsia="it-IT"/>
        </w:rPr>
      </w:pPr>
      <w:r w:rsidRPr="00B52CF5">
        <w:rPr>
          <w:rFonts w:ascii="Arial" w:hAnsi="Arial" w:cs="Arial"/>
          <w:b/>
          <w:bCs/>
          <w:lang w:eastAsia="it-IT"/>
        </w:rPr>
        <w:t>REVISORI DELLA SOSTENIBILITÀ, DAL 1° OTTOBRE LA FASE 2 PER L’ABILITAZIONE</w:t>
      </w:r>
    </w:p>
    <w:p w14:paraId="228ECED1" w14:textId="77777777" w:rsidR="00B52CF5" w:rsidRPr="00B52CF5" w:rsidRDefault="00B52CF5" w:rsidP="00B52CF5">
      <w:pPr>
        <w:spacing w:after="0" w:line="240" w:lineRule="auto"/>
        <w:jc w:val="center"/>
        <w:rPr>
          <w:rFonts w:ascii="Arial" w:hAnsi="Arial" w:cs="Arial"/>
          <w:b/>
          <w:bCs/>
          <w:lang w:eastAsia="it-IT"/>
        </w:rPr>
      </w:pPr>
    </w:p>
    <w:p w14:paraId="490673E4" w14:textId="77777777" w:rsidR="00B52CF5" w:rsidRPr="00B52CF5" w:rsidRDefault="00B52CF5" w:rsidP="00B52CF5">
      <w:pPr>
        <w:spacing w:after="0" w:line="240" w:lineRule="auto"/>
        <w:jc w:val="center"/>
        <w:rPr>
          <w:rFonts w:ascii="Arial" w:hAnsi="Arial" w:cs="Arial"/>
          <w:b/>
          <w:bCs/>
          <w:kern w:val="0"/>
          <w:lang w:eastAsia="it-IT"/>
        </w:rPr>
      </w:pPr>
      <w:r w:rsidRPr="00B52CF5">
        <w:rPr>
          <w:rFonts w:ascii="Arial" w:hAnsi="Arial" w:cs="Arial"/>
          <w:b/>
          <w:bCs/>
          <w:kern w:val="0"/>
          <w:lang w:eastAsia="it-IT"/>
        </w:rPr>
        <w:t>Ne dà notizia il Consiglio Nazionale dei Commercialisti attraverso l'informativa n. 138/2025</w:t>
      </w:r>
    </w:p>
    <w:p w14:paraId="3D236F26" w14:textId="77777777" w:rsidR="00261C55" w:rsidRPr="00B52CF5" w:rsidRDefault="00261C55" w:rsidP="00B52CF5">
      <w:pPr>
        <w:spacing w:after="0" w:line="240" w:lineRule="auto"/>
        <w:jc w:val="both"/>
        <w:rPr>
          <w:rFonts w:ascii="Arial" w:hAnsi="Arial" w:cs="Arial"/>
          <w:b/>
          <w:bCs/>
          <w:lang w:eastAsia="it-IT"/>
        </w:rPr>
      </w:pPr>
    </w:p>
    <w:p w14:paraId="67E04FCD" w14:textId="77777777" w:rsidR="00B52CF5" w:rsidRPr="00B52CF5" w:rsidRDefault="002661C2" w:rsidP="00B52CF5">
      <w:pPr>
        <w:pStyle w:val="NormaleWeb"/>
        <w:shd w:val="clear" w:color="auto" w:fill="FFFFFF"/>
        <w:spacing w:before="0" w:beforeAutospacing="0" w:after="0" w:afterAutospacing="0"/>
        <w:jc w:val="both"/>
        <w:textAlignment w:val="baseline"/>
        <w:rPr>
          <w:rFonts w:ascii="Arial" w:hAnsi="Arial" w:cs="Arial"/>
          <w:color w:val="333333"/>
        </w:rPr>
      </w:pPr>
      <w:r w:rsidRPr="00B52CF5">
        <w:rPr>
          <w:rFonts w:ascii="Arial" w:eastAsia="Calibri" w:hAnsi="Arial" w:cs="Arial"/>
          <w:i/>
          <w:iCs/>
        </w:rPr>
        <w:t xml:space="preserve">Roma, </w:t>
      </w:r>
      <w:r w:rsidR="00B52CF5" w:rsidRPr="00B52CF5">
        <w:rPr>
          <w:rFonts w:ascii="Arial" w:eastAsia="Calibri" w:hAnsi="Arial" w:cs="Arial"/>
          <w:i/>
          <w:iCs/>
        </w:rPr>
        <w:t>3 ottobre</w:t>
      </w:r>
      <w:r w:rsidRPr="00B52CF5">
        <w:rPr>
          <w:rFonts w:ascii="Arial" w:eastAsia="Calibri" w:hAnsi="Arial" w:cs="Arial"/>
          <w:i/>
          <w:iCs/>
        </w:rPr>
        <w:t xml:space="preserve"> 2025</w:t>
      </w:r>
      <w:r w:rsidRPr="00B52CF5">
        <w:rPr>
          <w:rFonts w:ascii="Arial" w:eastAsia="Calibri" w:hAnsi="Arial" w:cs="Arial"/>
        </w:rPr>
        <w:t xml:space="preserve"> –</w:t>
      </w:r>
      <w:r w:rsidR="00B52CF5" w:rsidRPr="00B52CF5">
        <w:rPr>
          <w:rFonts w:ascii="Arial" w:eastAsia="Calibri" w:hAnsi="Arial" w:cs="Arial"/>
        </w:rPr>
        <w:t xml:space="preserve"> </w:t>
      </w:r>
      <w:r w:rsidR="00B52CF5" w:rsidRPr="00B52CF5">
        <w:rPr>
          <w:rFonts w:ascii="Arial" w:hAnsi="Arial" w:cs="Arial"/>
          <w:color w:val="333333"/>
        </w:rPr>
        <w:t>In seguito della pubblicazione della Determina del Ragioniere Generale dello Stato del 25 settembre 2025, </w:t>
      </w:r>
      <w:r w:rsidR="00B52CF5" w:rsidRPr="00B52CF5">
        <w:rPr>
          <w:rFonts w:ascii="Arial" w:hAnsi="Arial" w:cs="Arial"/>
          <w:b/>
          <w:bCs/>
          <w:color w:val="333333"/>
          <w:bdr w:val="none" w:sz="0" w:space="0" w:color="auto" w:frame="1"/>
        </w:rPr>
        <w:t>il 1° ottobre</w:t>
      </w:r>
      <w:r w:rsidR="00B52CF5" w:rsidRPr="00B52CF5">
        <w:rPr>
          <w:rFonts w:ascii="Arial" w:hAnsi="Arial" w:cs="Arial"/>
          <w:color w:val="333333"/>
        </w:rPr>
        <w:t> è stata avviata l</w:t>
      </w:r>
      <w:r w:rsidR="00B52CF5" w:rsidRPr="00B52CF5">
        <w:rPr>
          <w:rFonts w:ascii="Arial" w:hAnsi="Arial" w:cs="Arial"/>
          <w:b/>
          <w:bCs/>
          <w:color w:val="333333"/>
          <w:bdr w:val="none" w:sz="0" w:space="0" w:color="auto" w:frame="1"/>
        </w:rPr>
        <w:t>a FASE 2 dell’iter di abilitazione</w:t>
      </w:r>
      <w:r w:rsidR="00B52CF5" w:rsidRPr="00B52CF5">
        <w:rPr>
          <w:rFonts w:ascii="Arial" w:hAnsi="Arial" w:cs="Arial"/>
          <w:color w:val="333333"/>
        </w:rPr>
        <w:t> delle persone fisiche </w:t>
      </w:r>
      <w:r w:rsidR="00B52CF5" w:rsidRPr="00B52CF5">
        <w:rPr>
          <w:rFonts w:ascii="Arial" w:hAnsi="Arial" w:cs="Arial"/>
          <w:b/>
          <w:bCs/>
          <w:color w:val="333333"/>
          <w:bdr w:val="none" w:sz="0" w:space="0" w:color="auto" w:frame="1"/>
        </w:rPr>
        <w:t>all’attività di attestazione della conformità della rendicontazione di sostenibilità</w:t>
      </w:r>
      <w:r w:rsidR="00B52CF5" w:rsidRPr="00B52CF5">
        <w:rPr>
          <w:rFonts w:ascii="Arial" w:hAnsi="Arial" w:cs="Arial"/>
          <w:color w:val="333333"/>
        </w:rPr>
        <w:t>. Ne dà notizia il Consiglio Nazionale dei Commercialisti attraverso </w:t>
      </w:r>
      <w:hyperlink r:id="rId7" w:history="1">
        <w:r w:rsidR="00B52CF5" w:rsidRPr="00B52CF5">
          <w:rPr>
            <w:rFonts w:ascii="Arial" w:hAnsi="Arial" w:cs="Arial"/>
            <w:color w:val="F7323F"/>
            <w:u w:val="single"/>
            <w:bdr w:val="none" w:sz="0" w:space="0" w:color="auto" w:frame="1"/>
          </w:rPr>
          <w:t>l’informativa n. 138/2025</w:t>
        </w:r>
      </w:hyperlink>
      <w:r w:rsidR="00B52CF5" w:rsidRPr="00B52CF5">
        <w:rPr>
          <w:rFonts w:ascii="Arial" w:hAnsi="Arial" w:cs="Arial"/>
          <w:color w:val="333333"/>
        </w:rPr>
        <w:t>.</w:t>
      </w:r>
    </w:p>
    <w:p w14:paraId="4735B742" w14:textId="77777777" w:rsidR="00B52CF5" w:rsidRPr="00B52CF5" w:rsidRDefault="00B52CF5" w:rsidP="00B52CF5">
      <w:pPr>
        <w:pStyle w:val="NormaleWeb"/>
        <w:shd w:val="clear" w:color="auto" w:fill="FFFFFF"/>
        <w:spacing w:before="0" w:beforeAutospacing="0" w:after="0" w:afterAutospacing="0"/>
        <w:jc w:val="both"/>
        <w:textAlignment w:val="baseline"/>
        <w:rPr>
          <w:rFonts w:ascii="Arial" w:hAnsi="Arial" w:cs="Arial"/>
          <w:color w:val="333333"/>
        </w:rPr>
      </w:pPr>
    </w:p>
    <w:p w14:paraId="2362489C"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r w:rsidRPr="00B52CF5">
        <w:rPr>
          <w:rFonts w:ascii="Arial" w:eastAsia="Times New Roman" w:hAnsi="Arial" w:cs="Arial"/>
          <w:color w:val="333333"/>
          <w:kern w:val="0"/>
          <w:lang w:eastAsia="it-IT"/>
          <w14:ligatures w14:val="none"/>
        </w:rPr>
        <w:t>L’avvio della suddetta FASE 2, si legge nell’informativa, </w:t>
      </w:r>
      <w:r w:rsidRPr="00B52CF5">
        <w:rPr>
          <w:rFonts w:ascii="Arial" w:eastAsia="Times New Roman" w:hAnsi="Arial" w:cs="Arial"/>
          <w:b/>
          <w:bCs/>
          <w:color w:val="333333"/>
          <w:kern w:val="0"/>
          <w:bdr w:val="none" w:sz="0" w:space="0" w:color="auto" w:frame="1"/>
          <w:lang w:eastAsia="it-IT"/>
          <w14:ligatures w14:val="none"/>
        </w:rPr>
        <w:t>consente ai revisori legali</w:t>
      </w:r>
      <w:r w:rsidRPr="00B52CF5">
        <w:rPr>
          <w:rFonts w:ascii="Arial" w:eastAsia="Times New Roman" w:hAnsi="Arial" w:cs="Arial"/>
          <w:color w:val="333333"/>
          <w:kern w:val="0"/>
          <w:lang w:eastAsia="it-IT"/>
          <w14:ligatures w14:val="none"/>
        </w:rPr>
        <w:t>, di cui alla disciplina transitoria prevista dal citato articolo 18, comma 4 del D.lgs. 125/2024, </w:t>
      </w:r>
      <w:r w:rsidRPr="00B52CF5">
        <w:rPr>
          <w:rFonts w:ascii="Arial" w:eastAsia="Times New Roman" w:hAnsi="Arial" w:cs="Arial"/>
          <w:b/>
          <w:bCs/>
          <w:color w:val="333333"/>
          <w:kern w:val="0"/>
          <w:bdr w:val="none" w:sz="0" w:space="0" w:color="auto" w:frame="1"/>
          <w:lang w:eastAsia="it-IT"/>
          <w14:ligatures w14:val="none"/>
        </w:rPr>
        <w:t>di formulare l’istanza di abilitazione</w:t>
      </w:r>
      <w:r w:rsidRPr="00B52CF5">
        <w:rPr>
          <w:rFonts w:ascii="Arial" w:eastAsia="Times New Roman" w:hAnsi="Arial" w:cs="Arial"/>
          <w:color w:val="333333"/>
          <w:kern w:val="0"/>
          <w:lang w:eastAsia="it-IT"/>
          <w14:ligatures w14:val="none"/>
        </w:rPr>
        <w:t>. Le indicazioni in merito alle modalità per l’invio delle istanze di abilitazione sono disponibili al </w:t>
      </w:r>
      <w:hyperlink r:id="rId8" w:history="1">
        <w:r w:rsidRPr="00B52CF5">
          <w:rPr>
            <w:rFonts w:ascii="Arial" w:eastAsia="Times New Roman" w:hAnsi="Arial" w:cs="Arial"/>
            <w:color w:val="F7323F"/>
            <w:kern w:val="0"/>
            <w:u w:val="single"/>
            <w:bdr w:val="none" w:sz="0" w:space="0" w:color="auto" w:frame="1"/>
            <w:lang w:eastAsia="it-IT"/>
            <w14:ligatures w14:val="none"/>
          </w:rPr>
          <w:t>link dedicato</w:t>
        </w:r>
      </w:hyperlink>
      <w:r w:rsidRPr="00B52CF5">
        <w:rPr>
          <w:rFonts w:ascii="Arial" w:eastAsia="Times New Roman" w:hAnsi="Arial" w:cs="Arial"/>
          <w:color w:val="333333"/>
          <w:kern w:val="0"/>
          <w:lang w:eastAsia="it-IT"/>
          <w14:ligatures w14:val="none"/>
        </w:rPr>
        <w:t>.</w:t>
      </w:r>
    </w:p>
    <w:p w14:paraId="6EDB238A"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p>
    <w:p w14:paraId="0C885A0C"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r w:rsidRPr="00B52CF5">
        <w:rPr>
          <w:rFonts w:ascii="Arial" w:eastAsia="Times New Roman" w:hAnsi="Arial" w:cs="Arial"/>
          <w:color w:val="333333"/>
          <w:kern w:val="0"/>
          <w:lang w:eastAsia="it-IT"/>
          <w14:ligatures w14:val="none"/>
        </w:rPr>
        <w:t>La presentazione dell’istanza di abilitazione è subordinata al </w:t>
      </w:r>
      <w:r w:rsidRPr="00B52CF5">
        <w:rPr>
          <w:rFonts w:ascii="Arial" w:eastAsia="Times New Roman" w:hAnsi="Arial" w:cs="Arial"/>
          <w:b/>
          <w:bCs/>
          <w:color w:val="333333"/>
          <w:kern w:val="0"/>
          <w:bdr w:val="none" w:sz="0" w:space="0" w:color="auto" w:frame="1"/>
          <w:lang w:eastAsia="it-IT"/>
          <w14:ligatures w14:val="none"/>
        </w:rPr>
        <w:t>conseguimento di almeno cinque crediti formativi</w:t>
      </w:r>
      <w:r w:rsidRPr="00B52CF5">
        <w:rPr>
          <w:rFonts w:ascii="Arial" w:eastAsia="Times New Roman" w:hAnsi="Arial" w:cs="Arial"/>
          <w:color w:val="333333"/>
          <w:kern w:val="0"/>
          <w:lang w:eastAsia="it-IT"/>
          <w14:ligatures w14:val="none"/>
        </w:rPr>
        <w:t> nelle materie caratterizzanti la rendicontazione e l’attestazione della sostenibilità conseguiti nel corso del 2024 o del 2025. Il MEF ha chiarito che, prima di presentare l’istanza di abilitazione, ciascun revisore legale dovrà verificare che all’interno della propria area riservata, nella sezione denominata “formazione”, vi sia la presenza di almeno cinque crediti riferiti ai moduli formativi contraddistinti dal codice corso con identificativo iniziale “D”.</w:t>
      </w:r>
    </w:p>
    <w:p w14:paraId="661AE578"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p>
    <w:p w14:paraId="65F33BE0"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r w:rsidRPr="00B52CF5">
        <w:rPr>
          <w:rFonts w:ascii="Arial" w:eastAsia="Times New Roman" w:hAnsi="Arial" w:cs="Arial"/>
          <w:b/>
          <w:bCs/>
          <w:color w:val="333333"/>
          <w:kern w:val="0"/>
          <w:bdr w:val="none" w:sz="0" w:space="0" w:color="auto" w:frame="1"/>
          <w:lang w:eastAsia="it-IT"/>
          <w14:ligatures w14:val="none"/>
        </w:rPr>
        <w:t>La mancata presenza di tali crediti</w:t>
      </w:r>
      <w:r w:rsidRPr="00B52CF5">
        <w:rPr>
          <w:rFonts w:ascii="Arial" w:eastAsia="Times New Roman" w:hAnsi="Arial" w:cs="Arial"/>
          <w:color w:val="333333"/>
          <w:kern w:val="0"/>
          <w:lang w:eastAsia="it-IT"/>
          <w14:ligatures w14:val="none"/>
        </w:rPr>
        <w:t>, benché acquisiti dal revisore, non potrà essere autocertificata, ma </w:t>
      </w:r>
      <w:r w:rsidRPr="00B52CF5">
        <w:rPr>
          <w:rFonts w:ascii="Arial" w:eastAsia="Times New Roman" w:hAnsi="Arial" w:cs="Arial"/>
          <w:b/>
          <w:bCs/>
          <w:color w:val="333333"/>
          <w:kern w:val="0"/>
          <w:bdr w:val="none" w:sz="0" w:space="0" w:color="auto" w:frame="1"/>
          <w:lang w:eastAsia="it-IT"/>
          <w14:ligatures w14:val="none"/>
        </w:rPr>
        <w:t>dovrà essere segnalata all’Ordine professionale o alla società di revisione</w:t>
      </w:r>
      <w:r w:rsidRPr="00B52CF5">
        <w:rPr>
          <w:rFonts w:ascii="Arial" w:eastAsia="Times New Roman" w:hAnsi="Arial" w:cs="Arial"/>
          <w:color w:val="333333"/>
          <w:kern w:val="0"/>
          <w:lang w:eastAsia="it-IT"/>
          <w14:ligatures w14:val="none"/>
        </w:rPr>
        <w:t> presso cui sono stati svolti i corsi affinché provvedano all’aggiornamento dei dati comunicati al MEF.</w:t>
      </w:r>
    </w:p>
    <w:p w14:paraId="6E5F10FB"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p>
    <w:p w14:paraId="3F4CDF16"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r w:rsidRPr="00B52CF5">
        <w:rPr>
          <w:rFonts w:ascii="Arial" w:eastAsia="Times New Roman" w:hAnsi="Arial" w:cs="Arial"/>
          <w:color w:val="333333"/>
          <w:kern w:val="0"/>
          <w:lang w:eastAsia="it-IT"/>
          <w14:ligatures w14:val="none"/>
        </w:rPr>
        <w:t>A tal riguardo, spiega l’informativa, </w:t>
      </w:r>
      <w:r w:rsidRPr="00B52CF5">
        <w:rPr>
          <w:rFonts w:ascii="Arial" w:eastAsia="Times New Roman" w:hAnsi="Arial" w:cs="Arial"/>
          <w:b/>
          <w:bCs/>
          <w:color w:val="333333"/>
          <w:kern w:val="0"/>
          <w:bdr w:val="none" w:sz="0" w:space="0" w:color="auto" w:frame="1"/>
          <w:lang w:eastAsia="it-IT"/>
          <w14:ligatures w14:val="none"/>
        </w:rPr>
        <w:t>il Consiglio Nazionale</w:t>
      </w:r>
      <w:r w:rsidRPr="00B52CF5">
        <w:rPr>
          <w:rFonts w:ascii="Arial" w:eastAsia="Times New Roman" w:hAnsi="Arial" w:cs="Arial"/>
          <w:color w:val="333333"/>
          <w:kern w:val="0"/>
          <w:lang w:eastAsia="it-IT"/>
          <w14:ligatures w14:val="none"/>
        </w:rPr>
        <w:t>, che attraverso il proprio portale della formazione cura la raccolta di tutti i crediti formativi acquisiti dagli iscritti nell’Albo dei Dottori Commercialisti e degli Esperti Contabili, </w:t>
      </w:r>
      <w:r w:rsidRPr="00B52CF5">
        <w:rPr>
          <w:rFonts w:ascii="Arial" w:eastAsia="Times New Roman" w:hAnsi="Arial" w:cs="Arial"/>
          <w:b/>
          <w:bCs/>
          <w:color w:val="333333"/>
          <w:kern w:val="0"/>
          <w:bdr w:val="none" w:sz="0" w:space="0" w:color="auto" w:frame="1"/>
          <w:lang w:eastAsia="it-IT"/>
          <w14:ligatures w14:val="none"/>
        </w:rPr>
        <w:t>ha trasmesso al MEF lo scorso 4 luglio i crediti formativi degli iscritti</w:t>
      </w:r>
      <w:r w:rsidRPr="00B52CF5">
        <w:rPr>
          <w:rFonts w:ascii="Arial" w:eastAsia="Times New Roman" w:hAnsi="Arial" w:cs="Arial"/>
          <w:color w:val="333333"/>
          <w:kern w:val="0"/>
          <w:lang w:eastAsia="it-IT"/>
          <w14:ligatures w14:val="none"/>
        </w:rPr>
        <w:t> comunicati dagli enti formatori alla data del 1° luglio 2025.</w:t>
      </w:r>
    </w:p>
    <w:p w14:paraId="4315D09E"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p>
    <w:p w14:paraId="03171940"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r w:rsidRPr="00B52CF5">
        <w:rPr>
          <w:rFonts w:ascii="Arial" w:eastAsia="Times New Roman" w:hAnsi="Arial" w:cs="Arial"/>
          <w:color w:val="333333"/>
          <w:kern w:val="0"/>
          <w:lang w:eastAsia="it-IT"/>
          <w14:ligatures w14:val="none"/>
        </w:rPr>
        <w:t>Nei prossimi giorni, </w:t>
      </w:r>
      <w:r w:rsidRPr="00B52CF5">
        <w:rPr>
          <w:rFonts w:ascii="Arial" w:eastAsia="Times New Roman" w:hAnsi="Arial" w:cs="Arial"/>
          <w:b/>
          <w:bCs/>
          <w:color w:val="333333"/>
          <w:kern w:val="0"/>
          <w:bdr w:val="none" w:sz="0" w:space="0" w:color="auto" w:frame="1"/>
          <w:lang w:eastAsia="it-IT"/>
          <w14:ligatures w14:val="none"/>
        </w:rPr>
        <w:t>verranno trasmessi al MEF anche gli ulteriori dati</w:t>
      </w:r>
      <w:r w:rsidRPr="00B52CF5">
        <w:rPr>
          <w:rFonts w:ascii="Arial" w:eastAsia="Times New Roman" w:hAnsi="Arial" w:cs="Arial"/>
          <w:color w:val="333333"/>
          <w:kern w:val="0"/>
          <w:lang w:eastAsia="it-IT"/>
          <w14:ligatures w14:val="none"/>
        </w:rPr>
        <w:t> presenti sulla piattaforma alla data del 29 settembre 2025.</w:t>
      </w:r>
    </w:p>
    <w:p w14:paraId="592C7B4E"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p>
    <w:p w14:paraId="28305FF4" w14:textId="77777777" w:rsidR="00B52CF5" w:rsidRPr="00B52CF5" w:rsidRDefault="00B52CF5" w:rsidP="00B52CF5">
      <w:pPr>
        <w:shd w:val="clear" w:color="auto" w:fill="FFFFFF"/>
        <w:spacing w:after="0" w:line="240" w:lineRule="auto"/>
        <w:jc w:val="both"/>
        <w:textAlignment w:val="baseline"/>
        <w:rPr>
          <w:rFonts w:ascii="Arial" w:eastAsia="Times New Roman" w:hAnsi="Arial" w:cs="Arial"/>
          <w:color w:val="333333"/>
          <w:kern w:val="0"/>
          <w:lang w:eastAsia="it-IT"/>
          <w14:ligatures w14:val="none"/>
        </w:rPr>
      </w:pPr>
      <w:r w:rsidRPr="00B52CF5">
        <w:rPr>
          <w:rFonts w:ascii="Arial" w:eastAsia="Times New Roman" w:hAnsi="Arial" w:cs="Arial"/>
          <w:color w:val="333333"/>
          <w:kern w:val="0"/>
          <w:lang w:eastAsia="it-IT"/>
          <w14:ligatures w14:val="none"/>
        </w:rPr>
        <w:t>Aggiornamenti sulle ulteriori trasmissioni dei dati al MEF saranno disponibili nella sezione “</w:t>
      </w:r>
      <w:hyperlink r:id="rId9" w:history="1">
        <w:r w:rsidRPr="00B52CF5">
          <w:rPr>
            <w:rFonts w:ascii="Arial" w:eastAsia="Times New Roman" w:hAnsi="Arial" w:cs="Arial"/>
            <w:color w:val="F7323F"/>
            <w:kern w:val="0"/>
            <w:u w:val="single"/>
            <w:bdr w:val="none" w:sz="0" w:space="0" w:color="auto" w:frame="1"/>
            <w:lang w:eastAsia="it-IT"/>
            <w14:ligatures w14:val="none"/>
          </w:rPr>
          <w:t>Formazione</w:t>
        </w:r>
      </w:hyperlink>
      <w:r w:rsidRPr="00B52CF5">
        <w:rPr>
          <w:rFonts w:ascii="Arial" w:eastAsia="Times New Roman" w:hAnsi="Arial" w:cs="Arial"/>
          <w:color w:val="333333"/>
          <w:kern w:val="0"/>
          <w:lang w:eastAsia="it-IT"/>
          <w14:ligatures w14:val="none"/>
        </w:rPr>
        <w:t>” del sito del Consiglio Nazionale.</w:t>
      </w:r>
    </w:p>
    <w:p w14:paraId="1CE3DD7D" w14:textId="62DDD3DB" w:rsidR="00757880" w:rsidRPr="00B52CF5" w:rsidRDefault="00757880" w:rsidP="00B52CF5">
      <w:pPr>
        <w:spacing w:after="0" w:line="240" w:lineRule="auto"/>
        <w:jc w:val="both"/>
        <w:rPr>
          <w:rFonts w:ascii="Arial" w:hAnsi="Arial" w:cs="Arial"/>
          <w:sz w:val="22"/>
          <w:szCs w:val="22"/>
        </w:rPr>
      </w:pPr>
    </w:p>
    <w:sectPr w:rsidR="00757880" w:rsidRPr="00B52CF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BD52" w14:textId="77777777" w:rsidR="00687737" w:rsidRDefault="00687737" w:rsidP="002661C2">
      <w:pPr>
        <w:spacing w:after="0" w:line="240" w:lineRule="auto"/>
      </w:pPr>
      <w:r>
        <w:separator/>
      </w:r>
    </w:p>
  </w:endnote>
  <w:endnote w:type="continuationSeparator" w:id="0">
    <w:p w14:paraId="58C33186" w14:textId="77777777" w:rsidR="00687737" w:rsidRDefault="00687737" w:rsidP="0026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838D" w14:textId="77777777" w:rsidR="00687737" w:rsidRDefault="00687737" w:rsidP="002661C2">
      <w:pPr>
        <w:spacing w:after="0" w:line="240" w:lineRule="auto"/>
      </w:pPr>
      <w:r>
        <w:separator/>
      </w:r>
    </w:p>
  </w:footnote>
  <w:footnote w:type="continuationSeparator" w:id="0">
    <w:p w14:paraId="383A5101" w14:textId="77777777" w:rsidR="00687737" w:rsidRDefault="00687737" w:rsidP="00266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B7FA" w14:textId="08A4034B" w:rsidR="002661C2" w:rsidRDefault="002661C2" w:rsidP="002661C2">
    <w:pPr>
      <w:pStyle w:val="Intestazione"/>
      <w:jc w:val="center"/>
    </w:pPr>
    <w:r>
      <w:rPr>
        <w:noProof/>
        <w:color w:val="000000"/>
      </w:rPr>
      <w:drawing>
        <wp:inline distT="0" distB="0" distL="0" distR="0" wp14:anchorId="171F0D1F" wp14:editId="1D470C92">
          <wp:extent cx="2928130" cy="994609"/>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928130" cy="9946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76D"/>
    <w:multiLevelType w:val="multilevel"/>
    <w:tmpl w:val="E3F2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6558DE"/>
    <w:multiLevelType w:val="hybridMultilevel"/>
    <w:tmpl w:val="1C487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DE479D3"/>
    <w:multiLevelType w:val="hybridMultilevel"/>
    <w:tmpl w:val="B1AA62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E4B06AA"/>
    <w:multiLevelType w:val="hybridMultilevel"/>
    <w:tmpl w:val="32D2EAB6"/>
    <w:lvl w:ilvl="0" w:tplc="DD60668A">
      <w:start w:val="1"/>
      <w:numFmt w:val="bullet"/>
      <w:lvlText w:val=""/>
      <w:lvlJc w:val="left"/>
      <w:pPr>
        <w:ind w:left="720" w:hanging="360"/>
      </w:pPr>
      <w:rPr>
        <w:rFonts w:ascii="Symbol" w:hAnsi="Symbol" w:hint="default"/>
      </w:rPr>
    </w:lvl>
    <w:lvl w:ilvl="1" w:tplc="5C50EED0">
      <w:start w:val="1"/>
      <w:numFmt w:val="bullet"/>
      <w:lvlText w:val="o"/>
      <w:lvlJc w:val="left"/>
      <w:pPr>
        <w:ind w:left="1440" w:hanging="360"/>
      </w:pPr>
      <w:rPr>
        <w:rFonts w:ascii="Courier New" w:hAnsi="Courier New" w:hint="default"/>
      </w:rPr>
    </w:lvl>
    <w:lvl w:ilvl="2" w:tplc="38126A98">
      <w:start w:val="1"/>
      <w:numFmt w:val="bullet"/>
      <w:lvlText w:val=""/>
      <w:lvlJc w:val="left"/>
      <w:pPr>
        <w:ind w:left="2160" w:hanging="360"/>
      </w:pPr>
      <w:rPr>
        <w:rFonts w:ascii="Wingdings" w:hAnsi="Wingdings" w:hint="default"/>
      </w:rPr>
    </w:lvl>
    <w:lvl w:ilvl="3" w:tplc="B032FDE6">
      <w:start w:val="1"/>
      <w:numFmt w:val="bullet"/>
      <w:lvlText w:val=""/>
      <w:lvlJc w:val="left"/>
      <w:pPr>
        <w:ind w:left="2880" w:hanging="360"/>
      </w:pPr>
      <w:rPr>
        <w:rFonts w:ascii="Symbol" w:hAnsi="Symbol" w:hint="default"/>
      </w:rPr>
    </w:lvl>
    <w:lvl w:ilvl="4" w:tplc="14D6ACD6">
      <w:start w:val="1"/>
      <w:numFmt w:val="bullet"/>
      <w:lvlText w:val="o"/>
      <w:lvlJc w:val="left"/>
      <w:pPr>
        <w:ind w:left="3600" w:hanging="360"/>
      </w:pPr>
      <w:rPr>
        <w:rFonts w:ascii="Courier New" w:hAnsi="Courier New" w:hint="default"/>
      </w:rPr>
    </w:lvl>
    <w:lvl w:ilvl="5" w:tplc="0C685616">
      <w:start w:val="1"/>
      <w:numFmt w:val="bullet"/>
      <w:lvlText w:val=""/>
      <w:lvlJc w:val="left"/>
      <w:pPr>
        <w:ind w:left="4320" w:hanging="360"/>
      </w:pPr>
      <w:rPr>
        <w:rFonts w:ascii="Wingdings" w:hAnsi="Wingdings" w:hint="default"/>
      </w:rPr>
    </w:lvl>
    <w:lvl w:ilvl="6" w:tplc="F2425FFC">
      <w:start w:val="1"/>
      <w:numFmt w:val="bullet"/>
      <w:lvlText w:val=""/>
      <w:lvlJc w:val="left"/>
      <w:pPr>
        <w:ind w:left="5040" w:hanging="360"/>
      </w:pPr>
      <w:rPr>
        <w:rFonts w:ascii="Symbol" w:hAnsi="Symbol" w:hint="default"/>
      </w:rPr>
    </w:lvl>
    <w:lvl w:ilvl="7" w:tplc="BA5AC0C6">
      <w:start w:val="1"/>
      <w:numFmt w:val="bullet"/>
      <w:lvlText w:val="o"/>
      <w:lvlJc w:val="left"/>
      <w:pPr>
        <w:ind w:left="5760" w:hanging="360"/>
      </w:pPr>
      <w:rPr>
        <w:rFonts w:ascii="Courier New" w:hAnsi="Courier New" w:hint="default"/>
      </w:rPr>
    </w:lvl>
    <w:lvl w:ilvl="8" w:tplc="0E6CA024">
      <w:start w:val="1"/>
      <w:numFmt w:val="bullet"/>
      <w:lvlText w:val=""/>
      <w:lvlJc w:val="left"/>
      <w:pPr>
        <w:ind w:left="6480" w:hanging="360"/>
      </w:pPr>
      <w:rPr>
        <w:rFonts w:ascii="Wingdings" w:hAnsi="Wingdings" w:hint="default"/>
      </w:rPr>
    </w:lvl>
  </w:abstractNum>
  <w:num w:numId="1" w16cid:durableId="599610721">
    <w:abstractNumId w:val="3"/>
  </w:num>
  <w:num w:numId="2" w16cid:durableId="600531572">
    <w:abstractNumId w:val="2"/>
  </w:num>
  <w:num w:numId="3" w16cid:durableId="2009281841">
    <w:abstractNumId w:val="0"/>
  </w:num>
  <w:num w:numId="4" w16cid:durableId="673265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80"/>
    <w:rsid w:val="000407DB"/>
    <w:rsid w:val="00261C55"/>
    <w:rsid w:val="002661C2"/>
    <w:rsid w:val="00391990"/>
    <w:rsid w:val="003962B3"/>
    <w:rsid w:val="004868D4"/>
    <w:rsid w:val="004D2FDD"/>
    <w:rsid w:val="005338B8"/>
    <w:rsid w:val="00572560"/>
    <w:rsid w:val="006330B8"/>
    <w:rsid w:val="00687737"/>
    <w:rsid w:val="00757880"/>
    <w:rsid w:val="007A2C71"/>
    <w:rsid w:val="00A44026"/>
    <w:rsid w:val="00AA529B"/>
    <w:rsid w:val="00AB2C87"/>
    <w:rsid w:val="00AF78DE"/>
    <w:rsid w:val="00B52CF5"/>
    <w:rsid w:val="00B6001B"/>
    <w:rsid w:val="00BA7235"/>
    <w:rsid w:val="00C05230"/>
    <w:rsid w:val="00C13257"/>
    <w:rsid w:val="00D53D90"/>
    <w:rsid w:val="00D649BE"/>
    <w:rsid w:val="00D70895"/>
    <w:rsid w:val="00E406A5"/>
    <w:rsid w:val="00F345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3928"/>
  <w15:chartTrackingRefBased/>
  <w15:docId w15:val="{9BC000EF-000F-42DF-9ECE-EDBBEEC7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788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788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788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788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788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788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788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788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788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788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788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788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78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78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78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78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7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78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788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78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788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7880"/>
    <w:rPr>
      <w:i/>
      <w:iCs/>
      <w:color w:val="404040" w:themeColor="text1" w:themeTint="BF"/>
    </w:rPr>
  </w:style>
  <w:style w:type="paragraph" w:styleId="Paragrafoelenco">
    <w:name w:val="List Paragraph"/>
    <w:basedOn w:val="Normale"/>
    <w:uiPriority w:val="34"/>
    <w:qFormat/>
    <w:rsid w:val="00757880"/>
    <w:pPr>
      <w:ind w:left="720"/>
      <w:contextualSpacing/>
    </w:pPr>
  </w:style>
  <w:style w:type="character" w:styleId="Enfasiintensa">
    <w:name w:val="Intense Emphasis"/>
    <w:basedOn w:val="Carpredefinitoparagrafo"/>
    <w:uiPriority w:val="21"/>
    <w:qFormat/>
    <w:rsid w:val="00757880"/>
    <w:rPr>
      <w:i/>
      <w:iCs/>
      <w:color w:val="0F4761" w:themeColor="accent1" w:themeShade="BF"/>
    </w:rPr>
  </w:style>
  <w:style w:type="paragraph" w:styleId="Citazioneintensa">
    <w:name w:val="Intense Quote"/>
    <w:basedOn w:val="Normale"/>
    <w:next w:val="Normale"/>
    <w:link w:val="CitazioneintensaCarattere"/>
    <w:uiPriority w:val="30"/>
    <w:qFormat/>
    <w:rsid w:val="0075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7880"/>
    <w:rPr>
      <w:i/>
      <w:iCs/>
      <w:color w:val="0F4761" w:themeColor="accent1" w:themeShade="BF"/>
    </w:rPr>
  </w:style>
  <w:style w:type="character" w:styleId="Riferimentointenso">
    <w:name w:val="Intense Reference"/>
    <w:basedOn w:val="Carpredefinitoparagrafo"/>
    <w:uiPriority w:val="32"/>
    <w:qFormat/>
    <w:rsid w:val="00757880"/>
    <w:rPr>
      <w:b/>
      <w:bCs/>
      <w:smallCaps/>
      <w:color w:val="0F4761" w:themeColor="accent1" w:themeShade="BF"/>
      <w:spacing w:val="5"/>
    </w:rPr>
  </w:style>
  <w:style w:type="paragraph" w:styleId="NormaleWeb">
    <w:name w:val="Normal (Web)"/>
    <w:basedOn w:val="Normale"/>
    <w:uiPriority w:val="99"/>
    <w:unhideWhenUsed/>
    <w:rsid w:val="0075788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Enfasigrassetto">
    <w:name w:val="Strong"/>
    <w:basedOn w:val="Carpredefinitoparagrafo"/>
    <w:uiPriority w:val="22"/>
    <w:qFormat/>
    <w:rsid w:val="00757880"/>
    <w:rPr>
      <w:b/>
      <w:bCs/>
    </w:rPr>
  </w:style>
  <w:style w:type="paragraph" w:styleId="Intestazione">
    <w:name w:val="header"/>
    <w:basedOn w:val="Normale"/>
    <w:link w:val="IntestazioneCarattere"/>
    <w:uiPriority w:val="99"/>
    <w:unhideWhenUsed/>
    <w:rsid w:val="002661C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661C2"/>
  </w:style>
  <w:style w:type="paragraph" w:styleId="Pidipagina">
    <w:name w:val="footer"/>
    <w:basedOn w:val="Normale"/>
    <w:link w:val="PidipaginaCarattere"/>
    <w:uiPriority w:val="99"/>
    <w:unhideWhenUsed/>
    <w:rsid w:val="002661C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661C2"/>
  </w:style>
  <w:style w:type="character" w:styleId="Collegamentoipertestuale">
    <w:name w:val="Hyperlink"/>
    <w:basedOn w:val="Carpredefinitoparagrafo"/>
    <w:uiPriority w:val="99"/>
    <w:unhideWhenUsed/>
    <w:rsid w:val="000407DB"/>
    <w:rPr>
      <w:color w:val="0000FF"/>
      <w:u w:val="single"/>
    </w:rPr>
  </w:style>
  <w:style w:type="character" w:styleId="Menzionenonrisolta">
    <w:name w:val="Unresolved Mention"/>
    <w:basedOn w:val="Carpredefinitoparagrafo"/>
    <w:uiPriority w:val="99"/>
    <w:semiHidden/>
    <w:unhideWhenUsed/>
    <w:rsid w:val="0057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ionelegale.rgs.mef.gov.it/area-pubblica/Abilitazione-persone-fisiche-attestazionerendicontazione-sostenibilita/" TargetMode="External"/><Relationship Id="rId3" Type="http://schemas.openxmlformats.org/officeDocument/2006/relationships/settings" Target="settings.xml"/><Relationship Id="rId7" Type="http://schemas.openxmlformats.org/officeDocument/2006/relationships/hyperlink" Target="https://commercialisti.it/informative/138-abilitazione-delle-persone-fisiche-allattivita-di-attestazione-della-conformita-della-rendicontazione-di-sostenibilita-avvio-della-fase-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mercialisti.it/norme-per-la-professione/formazi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427</Words>
  <Characters>2435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8</cp:revision>
  <dcterms:created xsi:type="dcterms:W3CDTF">2025-10-09T11:04:00Z</dcterms:created>
  <dcterms:modified xsi:type="dcterms:W3CDTF">2025-10-09T11:17:00Z</dcterms:modified>
</cp:coreProperties>
</file>