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F97AD" w14:textId="77777777" w:rsidR="006A58A0" w:rsidRPr="00822087" w:rsidRDefault="006A58A0" w:rsidP="00822087">
      <w:pPr>
        <w:jc w:val="center"/>
        <w:rPr>
          <w:rFonts w:ascii="Arial" w:eastAsia="Times New Roman" w:hAnsi="Arial" w:cs="Arial"/>
          <w:color w:val="000000"/>
          <w:sz w:val="23"/>
          <w:szCs w:val="23"/>
          <w:u w:val="single"/>
        </w:rPr>
      </w:pPr>
      <w:r w:rsidRPr="00822087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Comunicato stampa</w:t>
      </w:r>
    </w:p>
    <w:p w14:paraId="5FFAA85B" w14:textId="3F3A73D6" w:rsidR="006A58A0" w:rsidRPr="00822087" w:rsidRDefault="006A58A0" w:rsidP="00822087">
      <w:pPr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14:paraId="2DFBC616" w14:textId="0DECA225" w:rsidR="006A58A0" w:rsidRDefault="00921778" w:rsidP="00822087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921778">
        <w:rPr>
          <w:rFonts w:ascii="Arial" w:eastAsia="Times New Roman" w:hAnsi="Arial" w:cs="Arial"/>
          <w:b/>
          <w:bCs/>
          <w:color w:val="000000"/>
          <w:sz w:val="23"/>
          <w:szCs w:val="23"/>
        </w:rPr>
        <w:t>SOCIETÀ PUBBLICHE, DAI COMMERCIALISTI FOCUS SUI PROCESSI DI AGGREGAZIONE</w:t>
      </w:r>
    </w:p>
    <w:p w14:paraId="0739409E" w14:textId="77777777" w:rsidR="00921778" w:rsidRPr="00822087" w:rsidRDefault="00921778" w:rsidP="00822087">
      <w:pPr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14:paraId="0698A3C7" w14:textId="780AB7A3" w:rsidR="00935C06" w:rsidRPr="00CC0914" w:rsidRDefault="00767D99" w:rsidP="00CC0914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Un documento</w:t>
      </w:r>
      <w:r w:rsidR="00CC0914" w:rsidRPr="00CC0914">
        <w:rPr>
          <w:rFonts w:ascii="Arial" w:hAnsi="Arial" w:cs="Arial"/>
          <w:b/>
          <w:bCs/>
          <w:sz w:val="23"/>
          <w:szCs w:val="23"/>
        </w:rPr>
        <w:t xml:space="preserve"> su </w:t>
      </w:r>
      <w:r w:rsidR="00935C06" w:rsidRPr="00CC0914">
        <w:rPr>
          <w:rFonts w:ascii="Arial" w:hAnsi="Arial" w:cs="Arial"/>
          <w:b/>
          <w:bCs/>
          <w:sz w:val="23"/>
          <w:szCs w:val="23"/>
        </w:rPr>
        <w:t xml:space="preserve">un fenomeno </w:t>
      </w:r>
      <w:r w:rsidR="00CC0914" w:rsidRPr="00CC0914">
        <w:rPr>
          <w:rFonts w:ascii="Arial" w:hAnsi="Arial" w:cs="Arial"/>
          <w:b/>
          <w:bCs/>
          <w:sz w:val="23"/>
          <w:szCs w:val="23"/>
        </w:rPr>
        <w:t>attuato con sempre maggior frequenza, evidenziando criticità e proponendo interventi normativi e interpretativi</w:t>
      </w:r>
    </w:p>
    <w:p w14:paraId="468F0BF6" w14:textId="77777777" w:rsidR="00935C06" w:rsidRDefault="00935C06" w:rsidP="00822087">
      <w:pPr>
        <w:pStyle w:val="Copertina-Autori"/>
        <w:spacing w:after="0" w:line="240" w:lineRule="auto"/>
        <w:rPr>
          <w:rFonts w:ascii="Arial" w:eastAsia="Times New Roman" w:hAnsi="Arial" w:cs="Arial"/>
          <w:b w:val="0"/>
          <w:bCs w:val="0"/>
          <w:i/>
          <w:iCs/>
          <w:color w:val="auto"/>
          <w:sz w:val="23"/>
          <w:szCs w:val="23"/>
          <w:lang w:val="it"/>
        </w:rPr>
      </w:pPr>
    </w:p>
    <w:p w14:paraId="31D7DF00" w14:textId="28CFCA42" w:rsidR="006A58A0" w:rsidRPr="00822087" w:rsidRDefault="006A58A0" w:rsidP="00822087">
      <w:pPr>
        <w:pStyle w:val="Copertina-Autori"/>
        <w:spacing w:after="0" w:line="240" w:lineRule="auto"/>
        <w:rPr>
          <w:rFonts w:ascii="Arial" w:hAnsi="Arial" w:cs="Arial"/>
          <w:b w:val="0"/>
          <w:bCs w:val="0"/>
          <w:color w:val="auto"/>
          <w:sz w:val="23"/>
          <w:szCs w:val="23"/>
        </w:rPr>
      </w:pPr>
      <w:r w:rsidRPr="00822087">
        <w:rPr>
          <w:rFonts w:ascii="Arial" w:eastAsia="Times New Roman" w:hAnsi="Arial" w:cs="Arial"/>
          <w:b w:val="0"/>
          <w:bCs w:val="0"/>
          <w:i/>
          <w:iCs/>
          <w:color w:val="auto"/>
          <w:sz w:val="23"/>
          <w:szCs w:val="23"/>
        </w:rPr>
        <w:t xml:space="preserve">Roma, </w:t>
      </w:r>
      <w:r w:rsidR="00822087" w:rsidRPr="00822087">
        <w:rPr>
          <w:rFonts w:ascii="Arial" w:eastAsia="Times New Roman" w:hAnsi="Arial" w:cs="Arial"/>
          <w:b w:val="0"/>
          <w:bCs w:val="0"/>
          <w:i/>
          <w:iCs/>
          <w:color w:val="auto"/>
          <w:sz w:val="23"/>
          <w:szCs w:val="23"/>
        </w:rPr>
        <w:t>17</w:t>
      </w:r>
      <w:r w:rsidRPr="00822087">
        <w:rPr>
          <w:rFonts w:ascii="Arial" w:eastAsia="Times New Roman" w:hAnsi="Arial" w:cs="Arial"/>
          <w:b w:val="0"/>
          <w:bCs w:val="0"/>
          <w:i/>
          <w:iCs/>
          <w:color w:val="auto"/>
          <w:sz w:val="23"/>
          <w:szCs w:val="23"/>
        </w:rPr>
        <w:t xml:space="preserve"> settembre 2025</w:t>
      </w:r>
      <w:r w:rsidRPr="00822087">
        <w:rPr>
          <w:rFonts w:ascii="Arial" w:eastAsia="Times New Roman" w:hAnsi="Arial" w:cs="Arial"/>
          <w:b w:val="0"/>
          <w:bCs w:val="0"/>
          <w:color w:val="auto"/>
          <w:sz w:val="23"/>
          <w:szCs w:val="23"/>
        </w:rPr>
        <w:t> – “</w:t>
      </w:r>
      <w:r w:rsidR="00822087" w:rsidRPr="009D3CEF">
        <w:rPr>
          <w:rFonts w:ascii="Arial" w:eastAsia="Times New Roman" w:hAnsi="Arial" w:cs="Arial"/>
          <w:color w:val="auto"/>
          <w:sz w:val="23"/>
          <w:szCs w:val="23"/>
        </w:rPr>
        <w:t>Le aggregazioni di società a partecipazione pubblica</w:t>
      </w:r>
      <w:r w:rsidRPr="00822087">
        <w:rPr>
          <w:rFonts w:ascii="Arial" w:eastAsia="Times New Roman" w:hAnsi="Arial" w:cs="Arial"/>
          <w:b w:val="0"/>
          <w:bCs w:val="0"/>
          <w:color w:val="auto"/>
          <w:sz w:val="23"/>
          <w:szCs w:val="23"/>
        </w:rPr>
        <w:t>”</w:t>
      </w:r>
      <w:r w:rsidR="00822087" w:rsidRPr="00822087">
        <w:rPr>
          <w:rFonts w:ascii="Arial" w:eastAsia="Times New Roman" w:hAnsi="Arial" w:cs="Arial"/>
          <w:b w:val="0"/>
          <w:bCs w:val="0"/>
          <w:color w:val="auto"/>
          <w:sz w:val="23"/>
          <w:szCs w:val="23"/>
        </w:rPr>
        <w:t xml:space="preserve"> è il titolo del documento pubblicato oggi dal Consiglio e dalla Fondazione nazionale ricerca dei commercialisti</w:t>
      </w:r>
      <w:r w:rsidR="00822087" w:rsidRPr="00822087">
        <w:rPr>
          <w:rFonts w:ascii="Arial" w:hAnsi="Arial" w:cs="Arial"/>
          <w:b w:val="0"/>
          <w:bCs w:val="0"/>
          <w:color w:val="auto"/>
          <w:sz w:val="23"/>
          <w:szCs w:val="23"/>
        </w:rPr>
        <w:t xml:space="preserve"> nell’ambito dell’area di delega “</w:t>
      </w:r>
      <w:r w:rsidR="00822087" w:rsidRPr="00935C06">
        <w:rPr>
          <w:rFonts w:ascii="Arial" w:hAnsi="Arial" w:cs="Arial"/>
          <w:b w:val="0"/>
          <w:bCs w:val="0"/>
          <w:i/>
          <w:iCs/>
          <w:color w:val="auto"/>
          <w:sz w:val="23"/>
          <w:szCs w:val="23"/>
        </w:rPr>
        <w:t>Contabilità e revisione degli enti locali e delle società a partecipazione pubblica</w:t>
      </w:r>
      <w:r w:rsidR="00822087" w:rsidRPr="00822087">
        <w:rPr>
          <w:rFonts w:ascii="Arial" w:hAnsi="Arial" w:cs="Arial"/>
          <w:b w:val="0"/>
          <w:bCs w:val="0"/>
          <w:color w:val="auto"/>
          <w:sz w:val="23"/>
          <w:szCs w:val="23"/>
        </w:rPr>
        <w:t xml:space="preserve">” dei Consiglieri nazionali </w:t>
      </w:r>
      <w:r w:rsidR="00822087" w:rsidRPr="009D3CEF">
        <w:rPr>
          <w:rFonts w:ascii="Arial" w:hAnsi="Arial" w:cs="Arial"/>
          <w:color w:val="auto"/>
          <w:sz w:val="23"/>
          <w:szCs w:val="23"/>
        </w:rPr>
        <w:t>Cristina Bertinelli</w:t>
      </w:r>
      <w:r w:rsidR="00822087" w:rsidRPr="00822087">
        <w:rPr>
          <w:rFonts w:ascii="Arial" w:hAnsi="Arial" w:cs="Arial"/>
          <w:b w:val="0"/>
          <w:bCs w:val="0"/>
          <w:color w:val="auto"/>
          <w:sz w:val="23"/>
          <w:szCs w:val="23"/>
        </w:rPr>
        <w:t xml:space="preserve"> e </w:t>
      </w:r>
      <w:r w:rsidR="00822087" w:rsidRPr="009D3CEF">
        <w:rPr>
          <w:rFonts w:ascii="Arial" w:hAnsi="Arial" w:cs="Arial"/>
          <w:color w:val="auto"/>
          <w:sz w:val="23"/>
          <w:szCs w:val="23"/>
        </w:rPr>
        <w:t>Giuseppe Venneri</w:t>
      </w:r>
      <w:r w:rsidR="00822087" w:rsidRPr="00822087">
        <w:rPr>
          <w:rFonts w:ascii="Arial" w:hAnsi="Arial" w:cs="Arial"/>
          <w:b w:val="0"/>
          <w:bCs w:val="0"/>
          <w:color w:val="auto"/>
          <w:sz w:val="23"/>
          <w:szCs w:val="23"/>
        </w:rPr>
        <w:t>.</w:t>
      </w:r>
    </w:p>
    <w:p w14:paraId="774C5657" w14:textId="77777777" w:rsidR="00822087" w:rsidRPr="00822087" w:rsidRDefault="00822087" w:rsidP="00822087">
      <w:pPr>
        <w:pStyle w:val="Copertina-Autori"/>
        <w:spacing w:after="0" w:line="240" w:lineRule="auto"/>
        <w:rPr>
          <w:rFonts w:ascii="Arial" w:eastAsia="Times New Roman" w:hAnsi="Arial" w:cs="Arial"/>
          <w:b w:val="0"/>
          <w:bCs w:val="0"/>
          <w:color w:val="000000"/>
          <w:sz w:val="23"/>
          <w:szCs w:val="23"/>
        </w:rPr>
      </w:pPr>
    </w:p>
    <w:p w14:paraId="0F2530A6" w14:textId="7E9D303B" w:rsidR="00822087" w:rsidRPr="00822087" w:rsidRDefault="00822087" w:rsidP="00822087">
      <w:pPr>
        <w:jc w:val="both"/>
        <w:rPr>
          <w:rFonts w:ascii="Arial" w:hAnsi="Arial" w:cs="Arial"/>
          <w:sz w:val="23"/>
          <w:szCs w:val="23"/>
        </w:rPr>
      </w:pPr>
      <w:r w:rsidRPr="00822087">
        <w:rPr>
          <w:rFonts w:ascii="Arial" w:eastAsia="Times New Roman" w:hAnsi="Arial" w:cs="Arial"/>
          <w:color w:val="000000"/>
          <w:sz w:val="23"/>
          <w:szCs w:val="23"/>
        </w:rPr>
        <w:t>Il documento, realizzato dalla commissione di studio “</w:t>
      </w:r>
      <w:r w:rsidRPr="00935C06">
        <w:rPr>
          <w:rFonts w:ascii="Arial" w:eastAsia="Times New Roman" w:hAnsi="Arial" w:cs="Arial"/>
          <w:i/>
          <w:iCs/>
          <w:color w:val="000000"/>
          <w:sz w:val="23"/>
          <w:szCs w:val="23"/>
        </w:rPr>
        <w:t>Società a partecipazione pubblica</w:t>
      </w:r>
      <w:r w:rsidRPr="00822087">
        <w:rPr>
          <w:rFonts w:ascii="Arial" w:eastAsia="Times New Roman" w:hAnsi="Arial" w:cs="Arial"/>
          <w:color w:val="000000"/>
          <w:sz w:val="23"/>
          <w:szCs w:val="23"/>
        </w:rPr>
        <w:t xml:space="preserve">” </w:t>
      </w:r>
      <w:r w:rsidR="00767D99">
        <w:rPr>
          <w:rFonts w:ascii="Arial" w:eastAsia="Times New Roman" w:hAnsi="Arial" w:cs="Arial"/>
          <w:color w:val="000000"/>
          <w:sz w:val="23"/>
          <w:szCs w:val="23"/>
        </w:rPr>
        <w:t xml:space="preserve">e curato </w:t>
      </w:r>
      <w:r w:rsidRPr="00822087">
        <w:rPr>
          <w:rFonts w:ascii="Arial" w:eastAsia="Times New Roman" w:hAnsi="Arial" w:cs="Arial"/>
          <w:color w:val="000000"/>
          <w:sz w:val="23"/>
          <w:szCs w:val="23"/>
        </w:rPr>
        <w:t xml:space="preserve">da </w:t>
      </w:r>
      <w:r w:rsidRPr="009D3CEF">
        <w:rPr>
          <w:rFonts w:ascii="Arial" w:eastAsia="Times New Roman" w:hAnsi="Arial" w:cs="Arial"/>
          <w:b/>
          <w:bCs/>
          <w:color w:val="000000"/>
          <w:sz w:val="23"/>
          <w:szCs w:val="23"/>
        </w:rPr>
        <w:t>Stefano Pozzoli</w:t>
      </w:r>
      <w:r w:rsidR="00767D99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="00767D99" w:rsidRPr="00767D99">
        <w:rPr>
          <w:rFonts w:ascii="Arial" w:eastAsia="Times New Roman" w:hAnsi="Arial" w:cs="Arial"/>
          <w:color w:val="000000"/>
          <w:sz w:val="23"/>
          <w:szCs w:val="23"/>
        </w:rPr>
        <w:t xml:space="preserve">e </w:t>
      </w:r>
      <w:r w:rsidR="00767D99">
        <w:rPr>
          <w:rFonts w:ascii="Arial" w:eastAsia="Times New Roman" w:hAnsi="Arial" w:cs="Arial"/>
          <w:b/>
          <w:bCs/>
          <w:color w:val="000000"/>
          <w:sz w:val="23"/>
          <w:szCs w:val="23"/>
        </w:rPr>
        <w:t>Roberto Camporesi</w:t>
      </w:r>
      <w:r w:rsidRPr="00822087">
        <w:rPr>
          <w:rFonts w:ascii="Arial" w:eastAsia="Times New Roman" w:hAnsi="Arial" w:cs="Arial"/>
          <w:color w:val="000000"/>
          <w:sz w:val="23"/>
          <w:szCs w:val="23"/>
        </w:rPr>
        <w:t xml:space="preserve">, analizza </w:t>
      </w:r>
      <w:r w:rsidRPr="00822087">
        <w:rPr>
          <w:rFonts w:ascii="Arial" w:hAnsi="Arial" w:cs="Arial"/>
          <w:sz w:val="23"/>
          <w:szCs w:val="23"/>
        </w:rPr>
        <w:t xml:space="preserve">i </w:t>
      </w:r>
      <w:r w:rsidRPr="00935C06">
        <w:rPr>
          <w:rFonts w:ascii="Arial" w:hAnsi="Arial" w:cs="Arial"/>
          <w:sz w:val="23"/>
          <w:szCs w:val="23"/>
        </w:rPr>
        <w:t>processi di aggregazione delle società a partecipazione pubblica</w:t>
      </w:r>
      <w:r w:rsidRPr="00822087">
        <w:rPr>
          <w:rFonts w:ascii="Arial" w:hAnsi="Arial" w:cs="Arial"/>
          <w:sz w:val="23"/>
          <w:szCs w:val="23"/>
        </w:rPr>
        <w:t xml:space="preserve">, che rappresentano </w:t>
      </w:r>
      <w:r w:rsidRPr="009D3CEF">
        <w:rPr>
          <w:rFonts w:ascii="Arial" w:hAnsi="Arial" w:cs="Arial"/>
          <w:b/>
          <w:bCs/>
          <w:sz w:val="23"/>
          <w:szCs w:val="23"/>
        </w:rPr>
        <w:t>un fenomeno attuato con sempre maggior frequenza</w:t>
      </w:r>
      <w:r w:rsidRPr="00822087">
        <w:rPr>
          <w:rFonts w:ascii="Arial" w:hAnsi="Arial" w:cs="Arial"/>
          <w:sz w:val="23"/>
          <w:szCs w:val="23"/>
        </w:rPr>
        <w:t xml:space="preserve"> poiché consente sia di </w:t>
      </w:r>
      <w:r w:rsidRPr="009D3CEF">
        <w:rPr>
          <w:rFonts w:ascii="Arial" w:hAnsi="Arial" w:cs="Arial"/>
          <w:b/>
          <w:bCs/>
          <w:sz w:val="23"/>
          <w:szCs w:val="23"/>
        </w:rPr>
        <w:t>superare la frammentazione delle gestioni dei servizi pubblici locali</w:t>
      </w:r>
      <w:r w:rsidRPr="00822087">
        <w:rPr>
          <w:rFonts w:ascii="Arial" w:hAnsi="Arial" w:cs="Arial"/>
          <w:sz w:val="23"/>
          <w:szCs w:val="23"/>
        </w:rPr>
        <w:t xml:space="preserve">, come auspicato dal Decreto di riordino dei servizi pubblici locali </w:t>
      </w:r>
      <w:r>
        <w:rPr>
          <w:rFonts w:ascii="Arial" w:hAnsi="Arial" w:cs="Arial"/>
          <w:sz w:val="23"/>
          <w:szCs w:val="23"/>
        </w:rPr>
        <w:t>(</w:t>
      </w:r>
      <w:r w:rsidRPr="00822087">
        <w:rPr>
          <w:rFonts w:ascii="Arial" w:hAnsi="Arial" w:cs="Arial"/>
          <w:sz w:val="23"/>
          <w:szCs w:val="23"/>
        </w:rPr>
        <w:t xml:space="preserve">d.lgs. </w:t>
      </w:r>
      <w:r w:rsidR="00D54786">
        <w:rPr>
          <w:rFonts w:ascii="Arial" w:hAnsi="Arial" w:cs="Arial"/>
          <w:sz w:val="23"/>
          <w:szCs w:val="23"/>
        </w:rPr>
        <w:t>201/</w:t>
      </w:r>
      <w:r w:rsidRPr="00822087">
        <w:rPr>
          <w:rFonts w:ascii="Arial" w:hAnsi="Arial" w:cs="Arial"/>
          <w:sz w:val="23"/>
          <w:szCs w:val="23"/>
        </w:rPr>
        <w:t>2022</w:t>
      </w:r>
      <w:r w:rsidR="00D54786">
        <w:rPr>
          <w:rFonts w:ascii="Arial" w:hAnsi="Arial" w:cs="Arial"/>
          <w:sz w:val="23"/>
          <w:szCs w:val="23"/>
        </w:rPr>
        <w:t>)</w:t>
      </w:r>
      <w:r w:rsidRPr="00822087">
        <w:rPr>
          <w:rFonts w:ascii="Arial" w:hAnsi="Arial" w:cs="Arial"/>
          <w:sz w:val="23"/>
          <w:szCs w:val="23"/>
        </w:rPr>
        <w:t xml:space="preserve"> sia di </w:t>
      </w:r>
      <w:r w:rsidRPr="009D3CEF">
        <w:rPr>
          <w:rFonts w:ascii="Arial" w:hAnsi="Arial" w:cs="Arial"/>
          <w:b/>
          <w:bCs/>
          <w:sz w:val="23"/>
          <w:szCs w:val="23"/>
        </w:rPr>
        <w:t>attuare quei processi di razionalizzazione delle società pubbliche</w:t>
      </w:r>
      <w:r w:rsidRPr="00822087">
        <w:rPr>
          <w:rFonts w:ascii="Arial" w:hAnsi="Arial" w:cs="Arial"/>
          <w:sz w:val="23"/>
          <w:szCs w:val="23"/>
        </w:rPr>
        <w:t xml:space="preserve"> che sono richiesti dal Testo unico in materia di società a partecipazione pubblica</w:t>
      </w:r>
      <w:r w:rsidR="00D54786">
        <w:rPr>
          <w:rFonts w:ascii="Arial" w:hAnsi="Arial" w:cs="Arial"/>
          <w:sz w:val="23"/>
          <w:szCs w:val="23"/>
        </w:rPr>
        <w:t xml:space="preserve"> (</w:t>
      </w:r>
      <w:r w:rsidR="00D54786" w:rsidRPr="00822087">
        <w:rPr>
          <w:rFonts w:ascii="Arial" w:hAnsi="Arial" w:cs="Arial"/>
          <w:sz w:val="23"/>
          <w:szCs w:val="23"/>
        </w:rPr>
        <w:t>d.lgs.</w:t>
      </w:r>
      <w:r w:rsidR="00D54786">
        <w:rPr>
          <w:rFonts w:ascii="Arial" w:hAnsi="Arial" w:cs="Arial"/>
          <w:sz w:val="23"/>
          <w:szCs w:val="23"/>
        </w:rPr>
        <w:t xml:space="preserve"> </w:t>
      </w:r>
      <w:r w:rsidR="00D54786" w:rsidRPr="00822087">
        <w:rPr>
          <w:rFonts w:ascii="Arial" w:hAnsi="Arial" w:cs="Arial"/>
          <w:sz w:val="23"/>
          <w:szCs w:val="23"/>
        </w:rPr>
        <w:t>175</w:t>
      </w:r>
      <w:r w:rsidR="00D54786">
        <w:rPr>
          <w:rFonts w:ascii="Arial" w:hAnsi="Arial" w:cs="Arial"/>
          <w:sz w:val="23"/>
          <w:szCs w:val="23"/>
        </w:rPr>
        <w:t>/2016</w:t>
      </w:r>
      <w:r w:rsidR="00D54786" w:rsidRPr="00822087">
        <w:rPr>
          <w:rFonts w:ascii="Arial" w:hAnsi="Arial" w:cs="Arial"/>
          <w:sz w:val="23"/>
          <w:szCs w:val="23"/>
        </w:rPr>
        <w:t xml:space="preserve"> e </w:t>
      </w:r>
      <w:proofErr w:type="spellStart"/>
      <w:r w:rsidR="00D54786" w:rsidRPr="00822087">
        <w:rPr>
          <w:rFonts w:ascii="Arial" w:hAnsi="Arial" w:cs="Arial"/>
          <w:sz w:val="23"/>
          <w:szCs w:val="23"/>
        </w:rPr>
        <w:t>s.m.i.</w:t>
      </w:r>
      <w:proofErr w:type="spellEnd"/>
      <w:r w:rsidR="00D54786">
        <w:rPr>
          <w:rFonts w:ascii="Arial" w:hAnsi="Arial" w:cs="Arial"/>
          <w:sz w:val="23"/>
          <w:szCs w:val="23"/>
        </w:rPr>
        <w:t>).</w:t>
      </w:r>
    </w:p>
    <w:p w14:paraId="3D21AF2F" w14:textId="77777777" w:rsidR="00822087" w:rsidRPr="00822087" w:rsidRDefault="00822087" w:rsidP="00822087">
      <w:pPr>
        <w:jc w:val="both"/>
        <w:rPr>
          <w:rFonts w:ascii="Arial" w:hAnsi="Arial" w:cs="Arial"/>
          <w:sz w:val="23"/>
          <w:szCs w:val="23"/>
        </w:rPr>
      </w:pPr>
    </w:p>
    <w:p w14:paraId="18EE6B90" w14:textId="22612384" w:rsidR="00126C0D" w:rsidRPr="00822087" w:rsidRDefault="00126C0D" w:rsidP="00126C0D">
      <w:pPr>
        <w:jc w:val="both"/>
        <w:rPr>
          <w:rFonts w:ascii="Arial" w:hAnsi="Arial" w:cs="Arial"/>
          <w:sz w:val="23"/>
          <w:szCs w:val="23"/>
        </w:rPr>
      </w:pPr>
      <w:r w:rsidRPr="00822087">
        <w:rPr>
          <w:rFonts w:ascii="Arial" w:hAnsi="Arial" w:cs="Arial"/>
          <w:sz w:val="23"/>
          <w:szCs w:val="23"/>
        </w:rPr>
        <w:t xml:space="preserve">Il </w:t>
      </w:r>
      <w:r>
        <w:rPr>
          <w:rFonts w:ascii="Arial" w:hAnsi="Arial" w:cs="Arial"/>
          <w:sz w:val="23"/>
          <w:szCs w:val="23"/>
        </w:rPr>
        <w:t>testo,</w:t>
      </w:r>
      <w:r w:rsidRPr="00822087">
        <w:rPr>
          <w:rFonts w:ascii="Arial" w:hAnsi="Arial" w:cs="Arial"/>
          <w:sz w:val="23"/>
          <w:szCs w:val="23"/>
        </w:rPr>
        <w:t xml:space="preserve"> dopo una </w:t>
      </w:r>
      <w:r w:rsidRPr="002546F1">
        <w:rPr>
          <w:rFonts w:ascii="Arial" w:hAnsi="Arial" w:cs="Arial"/>
          <w:b/>
          <w:bCs/>
          <w:sz w:val="23"/>
          <w:szCs w:val="23"/>
        </w:rPr>
        <w:t>rassegna normativa</w:t>
      </w:r>
      <w:r w:rsidRPr="00822087">
        <w:rPr>
          <w:rFonts w:ascii="Arial" w:hAnsi="Arial" w:cs="Arial"/>
          <w:sz w:val="23"/>
          <w:szCs w:val="23"/>
        </w:rPr>
        <w:t xml:space="preserve"> che inquadra il fenomeno, evidenzia le criticità e </w:t>
      </w:r>
      <w:r w:rsidRPr="000D007C">
        <w:rPr>
          <w:rFonts w:ascii="Arial" w:hAnsi="Arial" w:cs="Arial"/>
          <w:b/>
          <w:bCs/>
          <w:sz w:val="23"/>
          <w:szCs w:val="23"/>
        </w:rPr>
        <w:t>propone gli interventi sia a livello normativo che in via interpretativa</w:t>
      </w:r>
      <w:r w:rsidRPr="00822087">
        <w:rPr>
          <w:rFonts w:ascii="Arial" w:hAnsi="Arial" w:cs="Arial"/>
          <w:sz w:val="23"/>
          <w:szCs w:val="23"/>
        </w:rPr>
        <w:t xml:space="preserve"> al fine di favorire gli auspicati obiettivi di superamento della frammentazione della gestione dei servizi pubblici che di razionalizzazione delle società a partecipazione pubblica attraverso una riduzione del numero.      </w:t>
      </w:r>
    </w:p>
    <w:p w14:paraId="7AE99E96" w14:textId="77777777" w:rsidR="00126C0D" w:rsidRDefault="00126C0D" w:rsidP="00822087">
      <w:pPr>
        <w:jc w:val="both"/>
        <w:rPr>
          <w:rFonts w:ascii="Arial" w:hAnsi="Arial" w:cs="Arial"/>
          <w:sz w:val="23"/>
          <w:szCs w:val="23"/>
        </w:rPr>
      </w:pPr>
    </w:p>
    <w:p w14:paraId="3BC16263" w14:textId="7D8BF500" w:rsidR="00126C0D" w:rsidRDefault="00822087" w:rsidP="00822087">
      <w:pPr>
        <w:jc w:val="both"/>
        <w:rPr>
          <w:rFonts w:ascii="Arial" w:hAnsi="Arial" w:cs="Arial"/>
          <w:sz w:val="23"/>
          <w:szCs w:val="23"/>
        </w:rPr>
      </w:pPr>
      <w:r w:rsidRPr="00822087">
        <w:rPr>
          <w:rFonts w:ascii="Arial" w:hAnsi="Arial" w:cs="Arial"/>
          <w:sz w:val="23"/>
          <w:szCs w:val="23"/>
        </w:rPr>
        <w:t xml:space="preserve">Il </w:t>
      </w:r>
      <w:r w:rsidRPr="00F42B4F">
        <w:rPr>
          <w:rFonts w:ascii="Arial" w:hAnsi="Arial" w:cs="Arial"/>
          <w:b/>
          <w:bCs/>
          <w:i/>
          <w:iCs/>
          <w:sz w:val="23"/>
          <w:szCs w:val="23"/>
        </w:rPr>
        <w:t>favor</w:t>
      </w:r>
      <w:r w:rsidRPr="00F42B4F">
        <w:rPr>
          <w:rFonts w:ascii="Arial" w:hAnsi="Arial" w:cs="Arial"/>
          <w:b/>
          <w:bCs/>
          <w:sz w:val="23"/>
          <w:szCs w:val="23"/>
        </w:rPr>
        <w:t xml:space="preserve"> del legislatore e le obiettive soluzioni strategiche</w:t>
      </w:r>
      <w:r w:rsidR="00F42B4F">
        <w:rPr>
          <w:rFonts w:ascii="Arial" w:hAnsi="Arial" w:cs="Arial"/>
          <w:sz w:val="23"/>
          <w:szCs w:val="23"/>
        </w:rPr>
        <w:t>,</w:t>
      </w:r>
      <w:r w:rsidRPr="00822087">
        <w:rPr>
          <w:rFonts w:ascii="Arial" w:hAnsi="Arial" w:cs="Arial"/>
          <w:sz w:val="23"/>
          <w:szCs w:val="23"/>
        </w:rPr>
        <w:t xml:space="preserve"> che portano a valutare positivamente tali processi aggregativi</w:t>
      </w:r>
      <w:r w:rsidR="00935C06">
        <w:rPr>
          <w:rFonts w:ascii="Arial" w:hAnsi="Arial" w:cs="Arial"/>
          <w:sz w:val="23"/>
          <w:szCs w:val="23"/>
        </w:rPr>
        <w:t xml:space="preserve"> - si legge nell’introduzione -</w:t>
      </w:r>
      <w:r w:rsidR="00F42B4F">
        <w:rPr>
          <w:rFonts w:ascii="Arial" w:hAnsi="Arial" w:cs="Arial"/>
          <w:sz w:val="23"/>
          <w:szCs w:val="23"/>
        </w:rPr>
        <w:t>,</w:t>
      </w:r>
      <w:r w:rsidR="00126C0D">
        <w:rPr>
          <w:rFonts w:ascii="Arial" w:hAnsi="Arial" w:cs="Arial"/>
          <w:sz w:val="23"/>
          <w:szCs w:val="23"/>
        </w:rPr>
        <w:t xml:space="preserve"> </w:t>
      </w:r>
      <w:r w:rsidRPr="00F42B4F">
        <w:rPr>
          <w:rFonts w:ascii="Arial" w:hAnsi="Arial" w:cs="Arial"/>
          <w:b/>
          <w:bCs/>
          <w:sz w:val="23"/>
          <w:szCs w:val="23"/>
        </w:rPr>
        <w:t xml:space="preserve">non vengono </w:t>
      </w:r>
      <w:r w:rsidR="00126C0D" w:rsidRPr="00F42B4F">
        <w:rPr>
          <w:rFonts w:ascii="Arial" w:hAnsi="Arial" w:cs="Arial"/>
          <w:b/>
          <w:bCs/>
          <w:sz w:val="23"/>
          <w:szCs w:val="23"/>
        </w:rPr>
        <w:t xml:space="preserve">infatti </w:t>
      </w:r>
      <w:r w:rsidRPr="00F42B4F">
        <w:rPr>
          <w:rFonts w:ascii="Arial" w:hAnsi="Arial" w:cs="Arial"/>
          <w:b/>
          <w:bCs/>
          <w:sz w:val="23"/>
          <w:szCs w:val="23"/>
        </w:rPr>
        <w:t>favorit</w:t>
      </w:r>
      <w:r w:rsidR="00D54786" w:rsidRPr="00F42B4F">
        <w:rPr>
          <w:rFonts w:ascii="Arial" w:hAnsi="Arial" w:cs="Arial"/>
          <w:b/>
          <w:bCs/>
          <w:sz w:val="23"/>
          <w:szCs w:val="23"/>
        </w:rPr>
        <w:t>i</w:t>
      </w:r>
      <w:r w:rsidRPr="00F42B4F">
        <w:rPr>
          <w:rFonts w:ascii="Arial" w:hAnsi="Arial" w:cs="Arial"/>
          <w:b/>
          <w:bCs/>
          <w:sz w:val="23"/>
          <w:szCs w:val="23"/>
        </w:rPr>
        <w:t xml:space="preserve"> in concreto dal contesto normativo attuale</w:t>
      </w:r>
      <w:r w:rsidRPr="00822087">
        <w:rPr>
          <w:rFonts w:ascii="Arial" w:hAnsi="Arial" w:cs="Arial"/>
          <w:sz w:val="23"/>
          <w:szCs w:val="23"/>
        </w:rPr>
        <w:t>, frutto di spinte diverse, non sempre convergenti</w:t>
      </w:r>
      <w:r w:rsidR="00126C0D">
        <w:rPr>
          <w:rFonts w:ascii="Arial" w:hAnsi="Arial" w:cs="Arial"/>
          <w:sz w:val="23"/>
          <w:szCs w:val="23"/>
        </w:rPr>
        <w:t>.</w:t>
      </w:r>
    </w:p>
    <w:p w14:paraId="5E80F437" w14:textId="77777777" w:rsidR="00126C0D" w:rsidRDefault="00126C0D" w:rsidP="00822087">
      <w:pPr>
        <w:jc w:val="both"/>
        <w:rPr>
          <w:rFonts w:ascii="Arial" w:hAnsi="Arial" w:cs="Arial"/>
          <w:sz w:val="23"/>
          <w:szCs w:val="23"/>
        </w:rPr>
      </w:pPr>
    </w:p>
    <w:p w14:paraId="355F94A8" w14:textId="3FE02AC9" w:rsidR="00822087" w:rsidRDefault="00126C0D" w:rsidP="00822087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Si tratta di </w:t>
      </w:r>
      <w:r w:rsidRPr="000D007C">
        <w:rPr>
          <w:rFonts w:ascii="Arial" w:hAnsi="Arial" w:cs="Arial"/>
          <w:b/>
          <w:bCs/>
          <w:sz w:val="23"/>
          <w:szCs w:val="23"/>
        </w:rPr>
        <w:t xml:space="preserve">processi aggregativi che </w:t>
      </w:r>
      <w:r w:rsidR="00822087" w:rsidRPr="000D007C">
        <w:rPr>
          <w:rFonts w:ascii="Arial" w:hAnsi="Arial" w:cs="Arial"/>
          <w:b/>
          <w:bCs/>
          <w:sz w:val="23"/>
          <w:szCs w:val="23"/>
        </w:rPr>
        <w:t>sono attuati attraverso operazioni societarie c.d. straordinarie</w:t>
      </w:r>
      <w:r>
        <w:rPr>
          <w:rFonts w:ascii="Arial" w:hAnsi="Arial" w:cs="Arial"/>
          <w:sz w:val="23"/>
          <w:szCs w:val="23"/>
        </w:rPr>
        <w:t>,</w:t>
      </w:r>
      <w:r w:rsidR="00822087" w:rsidRPr="00822087">
        <w:rPr>
          <w:rFonts w:ascii="Arial" w:hAnsi="Arial" w:cs="Arial"/>
          <w:sz w:val="23"/>
          <w:szCs w:val="23"/>
        </w:rPr>
        <w:t xml:space="preserve"> che trovano la propria disciplina naturale nel Codice civile senza un necessario riscontro nel </w:t>
      </w:r>
      <w:proofErr w:type="spellStart"/>
      <w:r w:rsidR="00822087" w:rsidRPr="00822087">
        <w:rPr>
          <w:rFonts w:ascii="Arial" w:hAnsi="Arial" w:cs="Arial"/>
          <w:sz w:val="23"/>
          <w:szCs w:val="23"/>
        </w:rPr>
        <w:t>Tusp</w:t>
      </w:r>
      <w:proofErr w:type="spellEnd"/>
      <w:r w:rsidR="00822087" w:rsidRPr="00822087">
        <w:rPr>
          <w:rFonts w:ascii="Arial" w:hAnsi="Arial" w:cs="Arial"/>
          <w:sz w:val="23"/>
          <w:szCs w:val="23"/>
        </w:rPr>
        <w:t xml:space="preserve"> ovvero nel decreto di riordino e neppure nelle specifiche discipline che regolano i servizi pubblici. L’assenza di una regolamentazione specifica</w:t>
      </w:r>
      <w:r>
        <w:rPr>
          <w:rFonts w:ascii="Arial" w:hAnsi="Arial" w:cs="Arial"/>
          <w:sz w:val="23"/>
          <w:szCs w:val="23"/>
        </w:rPr>
        <w:t>, però,</w:t>
      </w:r>
      <w:r w:rsidR="00822087" w:rsidRPr="00822087">
        <w:rPr>
          <w:rFonts w:ascii="Arial" w:hAnsi="Arial" w:cs="Arial"/>
          <w:sz w:val="23"/>
          <w:szCs w:val="23"/>
        </w:rPr>
        <w:t xml:space="preserve"> ha dato luogo ad </w:t>
      </w:r>
      <w:r w:rsidR="00822087" w:rsidRPr="000D007C">
        <w:rPr>
          <w:rFonts w:ascii="Arial" w:hAnsi="Arial" w:cs="Arial"/>
          <w:b/>
          <w:bCs/>
          <w:sz w:val="23"/>
          <w:szCs w:val="23"/>
        </w:rPr>
        <w:t>interpretazioni di carattere amministrativo che spesso rendono</w:t>
      </w:r>
      <w:r w:rsidRPr="000D007C">
        <w:rPr>
          <w:rFonts w:ascii="Arial" w:hAnsi="Arial" w:cs="Arial"/>
          <w:b/>
          <w:bCs/>
          <w:sz w:val="23"/>
          <w:szCs w:val="23"/>
        </w:rPr>
        <w:t xml:space="preserve"> le operazioni</w:t>
      </w:r>
      <w:r w:rsidR="00822087" w:rsidRPr="000D007C">
        <w:rPr>
          <w:rFonts w:ascii="Arial" w:hAnsi="Arial" w:cs="Arial"/>
          <w:b/>
          <w:bCs/>
          <w:sz w:val="23"/>
          <w:szCs w:val="23"/>
        </w:rPr>
        <w:t xml:space="preserve"> complesse o incerte</w:t>
      </w:r>
      <w:r>
        <w:rPr>
          <w:rFonts w:ascii="Arial" w:hAnsi="Arial" w:cs="Arial"/>
          <w:sz w:val="23"/>
          <w:szCs w:val="23"/>
        </w:rPr>
        <w:t>.</w:t>
      </w:r>
      <w:r w:rsidR="00822087" w:rsidRPr="00822087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Inoltre, </w:t>
      </w:r>
      <w:r w:rsidR="00822087" w:rsidRPr="00822087">
        <w:rPr>
          <w:rFonts w:ascii="Arial" w:hAnsi="Arial" w:cs="Arial"/>
          <w:sz w:val="23"/>
          <w:szCs w:val="23"/>
        </w:rPr>
        <w:t xml:space="preserve">la generale normativa vincolistica, pensata per altro, comporta un </w:t>
      </w:r>
      <w:r w:rsidR="00822087" w:rsidRPr="000D007C">
        <w:rPr>
          <w:rFonts w:ascii="Arial" w:hAnsi="Arial" w:cs="Arial"/>
          <w:b/>
          <w:bCs/>
          <w:sz w:val="23"/>
          <w:szCs w:val="23"/>
        </w:rPr>
        <w:t>allungamento di tempi</w:t>
      </w:r>
      <w:r w:rsidR="00822087" w:rsidRPr="00822087">
        <w:rPr>
          <w:rFonts w:ascii="Arial" w:hAnsi="Arial" w:cs="Arial"/>
          <w:sz w:val="23"/>
          <w:szCs w:val="23"/>
        </w:rPr>
        <w:t xml:space="preserve"> in percorsi che avrebbero, al contrario, bisogno di essere incentivati.</w:t>
      </w:r>
    </w:p>
    <w:p w14:paraId="0624BEA8" w14:textId="77777777" w:rsidR="00126C0D" w:rsidRPr="00822087" w:rsidRDefault="00126C0D" w:rsidP="00822087">
      <w:pPr>
        <w:jc w:val="both"/>
        <w:rPr>
          <w:rFonts w:ascii="Arial" w:hAnsi="Arial" w:cs="Arial"/>
          <w:sz w:val="23"/>
          <w:szCs w:val="23"/>
        </w:rPr>
      </w:pPr>
    </w:p>
    <w:p w14:paraId="3B5CB669" w14:textId="4F631EEA" w:rsidR="000D007C" w:rsidRDefault="00126C0D" w:rsidP="00126C0D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È emersa quindi </w:t>
      </w:r>
      <w:r w:rsidR="00822087" w:rsidRPr="00822087">
        <w:rPr>
          <w:rFonts w:ascii="Arial" w:hAnsi="Arial" w:cs="Arial"/>
          <w:sz w:val="23"/>
          <w:szCs w:val="23"/>
        </w:rPr>
        <w:t xml:space="preserve">l’esigenza di </w:t>
      </w:r>
      <w:r w:rsidR="00822087" w:rsidRPr="000D007C">
        <w:rPr>
          <w:rFonts w:ascii="Arial" w:hAnsi="Arial" w:cs="Arial"/>
          <w:b/>
          <w:bCs/>
          <w:sz w:val="23"/>
          <w:szCs w:val="23"/>
        </w:rPr>
        <w:t>definire una più puntuale disciplina</w:t>
      </w:r>
      <w:r w:rsidR="00822087" w:rsidRPr="00822087">
        <w:rPr>
          <w:rFonts w:ascii="Arial" w:hAnsi="Arial" w:cs="Arial"/>
          <w:sz w:val="23"/>
          <w:szCs w:val="23"/>
        </w:rPr>
        <w:t xml:space="preserve"> per i processi aggregativi che tenga conto che trattasi di un fenomeno unitario</w:t>
      </w:r>
      <w:r>
        <w:rPr>
          <w:rFonts w:ascii="Arial" w:hAnsi="Arial" w:cs="Arial"/>
          <w:sz w:val="23"/>
          <w:szCs w:val="23"/>
        </w:rPr>
        <w:t xml:space="preserve"> -</w:t>
      </w:r>
      <w:r w:rsidR="00822087" w:rsidRPr="00822087">
        <w:rPr>
          <w:rFonts w:ascii="Arial" w:hAnsi="Arial" w:cs="Arial"/>
          <w:sz w:val="23"/>
          <w:szCs w:val="23"/>
        </w:rPr>
        <w:t xml:space="preserve"> ancorché attuato attraverso singole operazioni societarie c.d. straordinarie</w:t>
      </w:r>
      <w:r>
        <w:rPr>
          <w:rFonts w:ascii="Arial" w:hAnsi="Arial" w:cs="Arial"/>
          <w:sz w:val="23"/>
          <w:szCs w:val="23"/>
        </w:rPr>
        <w:t xml:space="preserve"> </w:t>
      </w:r>
      <w:r w:rsidR="00935C06">
        <w:rPr>
          <w:rFonts w:ascii="Arial" w:hAnsi="Arial" w:cs="Arial"/>
          <w:sz w:val="23"/>
          <w:szCs w:val="23"/>
        </w:rPr>
        <w:t>-</w:t>
      </w:r>
      <w:r w:rsidR="00822087" w:rsidRPr="00822087">
        <w:rPr>
          <w:rFonts w:ascii="Arial" w:hAnsi="Arial" w:cs="Arial"/>
          <w:sz w:val="23"/>
          <w:szCs w:val="23"/>
        </w:rPr>
        <w:t xml:space="preserve"> </w:t>
      </w:r>
      <w:r w:rsidR="000D007C">
        <w:rPr>
          <w:rFonts w:ascii="Arial" w:hAnsi="Arial" w:cs="Arial"/>
          <w:sz w:val="23"/>
          <w:szCs w:val="23"/>
        </w:rPr>
        <w:t xml:space="preserve">affinché </w:t>
      </w:r>
      <w:r w:rsidR="00822087" w:rsidRPr="000D007C">
        <w:rPr>
          <w:rFonts w:ascii="Arial" w:hAnsi="Arial" w:cs="Arial"/>
          <w:b/>
          <w:bCs/>
          <w:sz w:val="23"/>
          <w:szCs w:val="23"/>
        </w:rPr>
        <w:t>il processo istruttorio sia più snello</w:t>
      </w:r>
      <w:r w:rsidR="00822087" w:rsidRPr="00822087">
        <w:rPr>
          <w:rFonts w:ascii="Arial" w:hAnsi="Arial" w:cs="Arial"/>
          <w:sz w:val="23"/>
          <w:szCs w:val="23"/>
        </w:rPr>
        <w:t xml:space="preserve"> nei tempi e tenga conto che </w:t>
      </w:r>
      <w:r w:rsidR="00822087" w:rsidRPr="00935C06">
        <w:rPr>
          <w:rFonts w:ascii="Arial" w:hAnsi="Arial" w:cs="Arial"/>
          <w:sz w:val="23"/>
          <w:szCs w:val="23"/>
        </w:rPr>
        <w:t>la valutazione dell’attuazione del processo aggregativo avviene su</w:t>
      </w:r>
      <w:r w:rsidR="00822087" w:rsidRPr="000D007C">
        <w:rPr>
          <w:rFonts w:ascii="Arial" w:hAnsi="Arial" w:cs="Arial"/>
          <w:b/>
          <w:bCs/>
          <w:sz w:val="23"/>
          <w:szCs w:val="23"/>
        </w:rPr>
        <w:t xml:space="preserve"> scelte strategiche di medio e lungo periodo</w:t>
      </w:r>
      <w:r w:rsidR="00822087" w:rsidRPr="00822087">
        <w:rPr>
          <w:rFonts w:ascii="Arial" w:hAnsi="Arial" w:cs="Arial"/>
          <w:sz w:val="23"/>
          <w:szCs w:val="23"/>
        </w:rPr>
        <w:t>.</w:t>
      </w:r>
    </w:p>
    <w:p w14:paraId="0AA7DE8D" w14:textId="77777777" w:rsidR="000D007C" w:rsidRDefault="000D007C" w:rsidP="00126C0D">
      <w:pPr>
        <w:jc w:val="both"/>
        <w:rPr>
          <w:rFonts w:ascii="Arial" w:hAnsi="Arial" w:cs="Arial"/>
          <w:sz w:val="23"/>
          <w:szCs w:val="23"/>
        </w:rPr>
      </w:pPr>
    </w:p>
    <w:p w14:paraId="08AB9791" w14:textId="6ECEB2A2" w:rsidR="001F1D77" w:rsidRPr="006A58A0" w:rsidRDefault="000D007C" w:rsidP="00126C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Infine, p</w:t>
      </w:r>
      <w:r w:rsidR="00822087" w:rsidRPr="00822087">
        <w:rPr>
          <w:rFonts w:ascii="Arial" w:hAnsi="Arial" w:cs="Arial"/>
          <w:sz w:val="23"/>
          <w:szCs w:val="23"/>
        </w:rPr>
        <w:t xml:space="preserve">er </w:t>
      </w:r>
      <w:r w:rsidR="00822087" w:rsidRPr="00935C06">
        <w:rPr>
          <w:rFonts w:ascii="Arial" w:hAnsi="Arial" w:cs="Arial"/>
          <w:b/>
          <w:bCs/>
          <w:sz w:val="23"/>
          <w:szCs w:val="23"/>
        </w:rPr>
        <w:t>i processi aggregativi di società a partecipazione pubblica</w:t>
      </w:r>
      <w:r w:rsidR="00822087" w:rsidRPr="00822087">
        <w:rPr>
          <w:rFonts w:ascii="Arial" w:hAnsi="Arial" w:cs="Arial"/>
          <w:sz w:val="23"/>
          <w:szCs w:val="23"/>
        </w:rPr>
        <w:t xml:space="preserve"> che gestiscono servizi pubblici si rende auspicabile </w:t>
      </w:r>
      <w:r w:rsidR="00822087" w:rsidRPr="00935C06">
        <w:rPr>
          <w:rFonts w:ascii="Arial" w:hAnsi="Arial" w:cs="Arial"/>
          <w:b/>
          <w:bCs/>
          <w:sz w:val="23"/>
          <w:szCs w:val="23"/>
        </w:rPr>
        <w:t>una disciplina semplificata</w:t>
      </w:r>
      <w:r w:rsidR="00822087" w:rsidRPr="00822087">
        <w:rPr>
          <w:rFonts w:ascii="Arial" w:hAnsi="Arial" w:cs="Arial"/>
          <w:sz w:val="23"/>
          <w:szCs w:val="23"/>
        </w:rPr>
        <w:t xml:space="preserve"> ove sono presenti anche soggetti privati al fine di salvaguardare altresì la durata dei servizi affidati.</w:t>
      </w:r>
    </w:p>
    <w:sectPr w:rsidR="001F1D77" w:rsidRPr="006A58A0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98D57" w14:textId="77777777" w:rsidR="009E4120" w:rsidRDefault="009E4120">
      <w:r>
        <w:separator/>
      </w:r>
    </w:p>
  </w:endnote>
  <w:endnote w:type="continuationSeparator" w:id="0">
    <w:p w14:paraId="43D3E150" w14:textId="77777777" w:rsidR="009E4120" w:rsidRDefault="009E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DC2DC" w14:textId="77777777" w:rsidR="009E4120" w:rsidRDefault="009E4120">
      <w:r>
        <w:separator/>
      </w:r>
    </w:p>
  </w:footnote>
  <w:footnote w:type="continuationSeparator" w:id="0">
    <w:p w14:paraId="0450CA08" w14:textId="77777777" w:rsidR="009E4120" w:rsidRDefault="009E4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864E" w14:textId="77777777" w:rsidR="00567F27" w:rsidRDefault="005129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605"/>
        <w:tab w:val="left" w:pos="2745"/>
      </w:tabs>
      <w:jc w:val="center"/>
      <w:rPr>
        <w:color w:val="000000"/>
        <w:sz w:val="24"/>
        <w:szCs w:val="24"/>
      </w:rPr>
    </w:pPr>
    <w:r>
      <w:rPr>
        <w:noProof/>
        <w:color w:val="000000"/>
      </w:rPr>
      <w:drawing>
        <wp:inline distT="0" distB="0" distL="0" distR="0" wp14:anchorId="19B85A52" wp14:editId="506DB03E">
          <wp:extent cx="2928130" cy="994609"/>
          <wp:effectExtent l="0" t="0" r="0" b="0"/>
          <wp:docPr id="1" name="image1.png" descr="CNDC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NDC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8130" cy="9946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62910"/>
    <w:multiLevelType w:val="hybridMultilevel"/>
    <w:tmpl w:val="5D9CB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D0E13"/>
    <w:multiLevelType w:val="hybridMultilevel"/>
    <w:tmpl w:val="DBA86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6D02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215329">
    <w:abstractNumId w:val="1"/>
  </w:num>
  <w:num w:numId="2" w16cid:durableId="203692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F27"/>
    <w:rsid w:val="000144D9"/>
    <w:rsid w:val="000D007C"/>
    <w:rsid w:val="000E259F"/>
    <w:rsid w:val="00126C0D"/>
    <w:rsid w:val="001D5F5B"/>
    <w:rsid w:val="001F1D77"/>
    <w:rsid w:val="002546F1"/>
    <w:rsid w:val="00336EEE"/>
    <w:rsid w:val="003A6272"/>
    <w:rsid w:val="003B1181"/>
    <w:rsid w:val="003E2E35"/>
    <w:rsid w:val="003E4289"/>
    <w:rsid w:val="003E6A85"/>
    <w:rsid w:val="004B3B7E"/>
    <w:rsid w:val="004F16C6"/>
    <w:rsid w:val="0051293E"/>
    <w:rsid w:val="0051578C"/>
    <w:rsid w:val="00521071"/>
    <w:rsid w:val="00567F27"/>
    <w:rsid w:val="005A311E"/>
    <w:rsid w:val="005F6FE0"/>
    <w:rsid w:val="00692570"/>
    <w:rsid w:val="006A58A0"/>
    <w:rsid w:val="006D19F5"/>
    <w:rsid w:val="00767D99"/>
    <w:rsid w:val="00774B2E"/>
    <w:rsid w:val="007D31BE"/>
    <w:rsid w:val="00800C4D"/>
    <w:rsid w:val="00822087"/>
    <w:rsid w:val="00885785"/>
    <w:rsid w:val="009020CA"/>
    <w:rsid w:val="00921778"/>
    <w:rsid w:val="00935C06"/>
    <w:rsid w:val="009D3CEF"/>
    <w:rsid w:val="009E4120"/>
    <w:rsid w:val="00A641BB"/>
    <w:rsid w:val="00AD16D7"/>
    <w:rsid w:val="00AE42E6"/>
    <w:rsid w:val="00AF5365"/>
    <w:rsid w:val="00B67593"/>
    <w:rsid w:val="00BE3F94"/>
    <w:rsid w:val="00C21C0F"/>
    <w:rsid w:val="00C6642F"/>
    <w:rsid w:val="00CC0914"/>
    <w:rsid w:val="00CE4810"/>
    <w:rsid w:val="00D26AD8"/>
    <w:rsid w:val="00D54786"/>
    <w:rsid w:val="00D80701"/>
    <w:rsid w:val="00D85791"/>
    <w:rsid w:val="00DB6B58"/>
    <w:rsid w:val="00E3363D"/>
    <w:rsid w:val="00E43A69"/>
    <w:rsid w:val="00EE0E6D"/>
    <w:rsid w:val="00F25031"/>
    <w:rsid w:val="00F2794B"/>
    <w:rsid w:val="00F4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3624"/>
  <w15:docId w15:val="{CCC899D1-6636-4238-91DE-B23ABEBB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CE481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4810"/>
    <w:rPr>
      <w:color w:val="605E5C"/>
      <w:shd w:val="clear" w:color="auto" w:fill="E1DFDD"/>
    </w:rPr>
  </w:style>
  <w:style w:type="paragraph" w:customStyle="1" w:styleId="atext">
    <w:name w:val="atext"/>
    <w:basedOn w:val="Normale"/>
    <w:rsid w:val="00885785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85785"/>
    <w:pPr>
      <w:spacing w:before="120"/>
      <w:jc w:val="both"/>
    </w:pPr>
    <w:rPr>
      <w:rFonts w:asciiTheme="minorHAnsi" w:eastAsiaTheme="minorHAnsi" w:hAnsiTheme="minorHAnsi" w:cstheme="minorBidi"/>
      <w:color w:val="262626" w:themeColor="text1" w:themeTint="D9"/>
      <w:kern w:val="2"/>
      <w:sz w:val="20"/>
      <w:szCs w:val="20"/>
      <w:lang w:val="it-IT" w:eastAsia="en-US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85785"/>
    <w:rPr>
      <w:rFonts w:asciiTheme="minorHAnsi" w:eastAsiaTheme="minorHAnsi" w:hAnsiTheme="minorHAnsi" w:cstheme="minorBidi"/>
      <w:color w:val="262626" w:themeColor="text1" w:themeTint="D9"/>
      <w:kern w:val="2"/>
      <w:sz w:val="20"/>
      <w:szCs w:val="20"/>
      <w:lang w:val="it-IT" w:eastAsia="en-US"/>
      <w14:ligatures w14:val="standardContextua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85785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885785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885785"/>
    <w:rPr>
      <w:b/>
      <w:bCs/>
    </w:rPr>
  </w:style>
  <w:style w:type="character" w:styleId="Enfasicorsivo">
    <w:name w:val="Emphasis"/>
    <w:basedOn w:val="Carpredefinitoparagrafo"/>
    <w:uiPriority w:val="20"/>
    <w:qFormat/>
    <w:rsid w:val="00885785"/>
    <w:rPr>
      <w:i/>
      <w:iCs/>
    </w:rPr>
  </w:style>
  <w:style w:type="paragraph" w:customStyle="1" w:styleId="Default">
    <w:name w:val="Default"/>
    <w:rsid w:val="00885785"/>
    <w:pPr>
      <w:autoSpaceDE w:val="0"/>
      <w:autoSpaceDN w:val="0"/>
      <w:adjustRightInd w:val="0"/>
    </w:pPr>
    <w:rPr>
      <w:rFonts w:ascii="EUAlbertina" w:eastAsiaTheme="minorHAnsi" w:hAnsi="EUAlbertina" w:cs="EUAlbertina"/>
      <w:color w:val="000000"/>
      <w:sz w:val="24"/>
      <w:szCs w:val="24"/>
      <w:lang w:val="en-GB" w:eastAsia="en-US"/>
      <w14:ligatures w14:val="standardContextual"/>
    </w:rPr>
  </w:style>
  <w:style w:type="paragraph" w:styleId="Paragrafoelenco">
    <w:name w:val="List Paragraph"/>
    <w:basedOn w:val="Normale"/>
    <w:uiPriority w:val="1"/>
    <w:qFormat/>
    <w:rsid w:val="00885785"/>
    <w:pPr>
      <w:spacing w:before="120" w:after="120" w:line="300" w:lineRule="auto"/>
      <w:ind w:left="720"/>
      <w:contextualSpacing/>
      <w:jc w:val="both"/>
    </w:pPr>
    <w:rPr>
      <w:rFonts w:asciiTheme="minorHAnsi" w:eastAsiaTheme="minorHAnsi" w:hAnsiTheme="minorHAnsi" w:cstheme="minorBidi"/>
      <w:color w:val="262626" w:themeColor="text1" w:themeTint="D9"/>
      <w:kern w:val="2"/>
      <w:lang w:val="it-IT" w:eastAsia="en-US"/>
      <w14:ligatures w14:val="standardContextual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85785"/>
    <w:pPr>
      <w:spacing w:before="120" w:after="120"/>
      <w:jc w:val="both"/>
    </w:pPr>
    <w:rPr>
      <w:rFonts w:asciiTheme="minorHAnsi" w:eastAsiaTheme="minorHAnsi" w:hAnsiTheme="minorHAnsi" w:cstheme="minorBidi"/>
      <w:color w:val="262626" w:themeColor="text1" w:themeTint="D9"/>
      <w:kern w:val="2"/>
      <w:sz w:val="20"/>
      <w:szCs w:val="20"/>
      <w:lang w:val="it-IT" w:eastAsia="en-US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85785"/>
    <w:rPr>
      <w:rFonts w:asciiTheme="minorHAnsi" w:eastAsiaTheme="minorHAnsi" w:hAnsiTheme="minorHAnsi" w:cstheme="minorBidi"/>
      <w:color w:val="262626" w:themeColor="text1" w:themeTint="D9"/>
      <w:kern w:val="2"/>
      <w:sz w:val="20"/>
      <w:szCs w:val="20"/>
      <w:lang w:val="it-IT" w:eastAsia="en-US"/>
      <w14:ligatures w14:val="standardContextual"/>
    </w:rPr>
  </w:style>
  <w:style w:type="paragraph" w:customStyle="1" w:styleId="Copertina-Autori">
    <w:name w:val="Copertina - Autori"/>
    <w:basedOn w:val="Normale"/>
    <w:qFormat/>
    <w:rsid w:val="00822087"/>
    <w:pPr>
      <w:spacing w:after="120" w:line="312" w:lineRule="auto"/>
      <w:jc w:val="both"/>
    </w:pPr>
    <w:rPr>
      <w:rFonts w:asciiTheme="minorHAnsi" w:hAnsiTheme="minorHAnsi" w:cs="Times New Roman (Corpo CS)"/>
      <w:b/>
      <w:bCs/>
      <w:color w:val="FFFFFF" w:themeColor="background1"/>
      <w:sz w:val="26"/>
      <w:szCs w:val="28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97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80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53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6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48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40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80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9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77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91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15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82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7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87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Parracino Mauro</dc:creator>
  <cp:lastModifiedBy>Mastrogiacomo Tiziana</cp:lastModifiedBy>
  <cp:revision>18</cp:revision>
  <dcterms:created xsi:type="dcterms:W3CDTF">2025-07-14T10:00:00Z</dcterms:created>
  <dcterms:modified xsi:type="dcterms:W3CDTF">2025-09-17T12:55:00Z</dcterms:modified>
</cp:coreProperties>
</file>