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957A1" w14:textId="77777777" w:rsidR="004D76E4" w:rsidRPr="00AF1D1D" w:rsidRDefault="004D76E4" w:rsidP="00952FAE">
      <w:pPr>
        <w:pStyle w:val="atext"/>
        <w:shd w:val="clear" w:color="auto" w:fill="FFFFFF"/>
        <w:spacing w:before="0" w:beforeAutospacing="0" w:after="0" w:afterAutospacing="0"/>
        <w:jc w:val="center"/>
        <w:rPr>
          <w:rFonts w:ascii="Arial" w:hAnsi="Arial" w:cs="Arial"/>
          <w:b/>
          <w:bCs/>
          <w:sz w:val="23"/>
          <w:szCs w:val="23"/>
          <w:u w:val="single"/>
        </w:rPr>
      </w:pPr>
    </w:p>
    <w:p w14:paraId="618DA85A" w14:textId="77777777" w:rsidR="00C00443" w:rsidRPr="00AF1D1D" w:rsidRDefault="00C00443" w:rsidP="00C00443">
      <w:pPr>
        <w:spacing w:after="0" w:line="240" w:lineRule="auto"/>
        <w:jc w:val="center"/>
        <w:rPr>
          <w:rFonts w:ascii="Arial" w:hAnsi="Arial" w:cs="Arial"/>
          <w:b/>
          <w:bCs/>
          <w:color w:val="000000"/>
          <w:sz w:val="23"/>
          <w:szCs w:val="23"/>
          <w:u w:val="single"/>
        </w:rPr>
      </w:pPr>
      <w:r w:rsidRPr="00AF1D1D">
        <w:rPr>
          <w:rFonts w:ascii="Arial" w:hAnsi="Arial" w:cs="Arial"/>
          <w:b/>
          <w:bCs/>
          <w:color w:val="000000"/>
          <w:sz w:val="23"/>
          <w:szCs w:val="23"/>
          <w:u w:val="single"/>
        </w:rPr>
        <w:t>Comunicato stampa</w:t>
      </w:r>
    </w:p>
    <w:p w14:paraId="668E67B3" w14:textId="77777777" w:rsidR="00C00443" w:rsidRPr="00AF1D1D" w:rsidRDefault="00C00443" w:rsidP="00C00443">
      <w:pPr>
        <w:spacing w:after="0" w:line="240" w:lineRule="auto"/>
        <w:jc w:val="center"/>
        <w:rPr>
          <w:rFonts w:ascii="Arial" w:hAnsi="Arial" w:cs="Arial"/>
          <w:b/>
          <w:bCs/>
          <w:color w:val="000000"/>
          <w:sz w:val="23"/>
          <w:szCs w:val="23"/>
          <w:u w:val="single"/>
        </w:rPr>
      </w:pPr>
    </w:p>
    <w:p w14:paraId="60C1DAED" w14:textId="16A75A06" w:rsidR="00AF1D1D" w:rsidRDefault="00AF1D1D" w:rsidP="00AF1D1D">
      <w:pPr>
        <w:spacing w:after="0" w:line="240" w:lineRule="auto"/>
        <w:jc w:val="center"/>
        <w:rPr>
          <w:rFonts w:ascii="Arial" w:hAnsi="Arial" w:cs="Arial"/>
          <w:b/>
          <w:bCs/>
          <w:color w:val="000000"/>
          <w:sz w:val="23"/>
          <w:szCs w:val="23"/>
        </w:rPr>
      </w:pPr>
      <w:r w:rsidRPr="00AF1D1D">
        <w:rPr>
          <w:rFonts w:ascii="Arial" w:hAnsi="Arial" w:cs="Arial"/>
          <w:b/>
          <w:bCs/>
          <w:color w:val="000000"/>
          <w:sz w:val="23"/>
          <w:szCs w:val="23"/>
        </w:rPr>
        <w:t>SOSTENIBILIT</w:t>
      </w:r>
      <w:r w:rsidR="00BB325B">
        <w:rPr>
          <w:rFonts w:ascii="Arial" w:hAnsi="Arial" w:cs="Arial"/>
          <w:b/>
          <w:bCs/>
          <w:color w:val="000000"/>
          <w:sz w:val="23"/>
          <w:szCs w:val="23"/>
        </w:rPr>
        <w:t xml:space="preserve">À, </w:t>
      </w:r>
      <w:r w:rsidRPr="00AF1D1D">
        <w:rPr>
          <w:rFonts w:ascii="Arial" w:hAnsi="Arial" w:cs="Arial"/>
          <w:b/>
          <w:bCs/>
          <w:color w:val="000000"/>
          <w:sz w:val="23"/>
          <w:szCs w:val="23"/>
        </w:rPr>
        <w:t>DAI COMMERCIALISTI LE INDICAZIONI SU COME MITIGARE IL CARBON WASHING</w:t>
      </w:r>
    </w:p>
    <w:p w14:paraId="08FCDB29" w14:textId="77777777" w:rsidR="00BB325B" w:rsidRPr="00AF1D1D" w:rsidRDefault="00BB325B" w:rsidP="00AF1D1D">
      <w:pPr>
        <w:spacing w:after="0" w:line="240" w:lineRule="auto"/>
        <w:jc w:val="center"/>
        <w:rPr>
          <w:rFonts w:ascii="Arial" w:hAnsi="Arial" w:cs="Arial"/>
          <w:b/>
          <w:bCs/>
          <w:color w:val="000000"/>
          <w:sz w:val="23"/>
          <w:szCs w:val="23"/>
        </w:rPr>
      </w:pPr>
    </w:p>
    <w:p w14:paraId="07F895DC" w14:textId="49EAB477" w:rsidR="00AF1D1D" w:rsidRPr="00AF1D1D" w:rsidRDefault="00AF1D1D" w:rsidP="00AF1D1D">
      <w:pPr>
        <w:spacing w:after="0" w:line="240" w:lineRule="auto"/>
        <w:jc w:val="center"/>
        <w:rPr>
          <w:rFonts w:ascii="Arial" w:hAnsi="Arial" w:cs="Arial"/>
          <w:b/>
          <w:bCs/>
          <w:color w:val="000000"/>
          <w:sz w:val="23"/>
          <w:szCs w:val="23"/>
        </w:rPr>
      </w:pPr>
      <w:r w:rsidRPr="00AF1D1D">
        <w:rPr>
          <w:rFonts w:ascii="Arial" w:hAnsi="Arial" w:cs="Arial"/>
          <w:b/>
          <w:bCs/>
          <w:color w:val="000000"/>
          <w:sz w:val="23"/>
          <w:szCs w:val="23"/>
        </w:rPr>
        <w:t xml:space="preserve"> Un documento del Consiglio e della Fondazione nazionali della categoria descrive le metodologie ritenute più efficaci per contrastare questa tendenza nelle imprese e il correlato rischio di frodi</w:t>
      </w:r>
    </w:p>
    <w:p w14:paraId="4F3D23AC" w14:textId="77777777" w:rsidR="00AF1D1D" w:rsidRPr="00AF1D1D" w:rsidRDefault="00AF1D1D" w:rsidP="00AF1D1D">
      <w:pPr>
        <w:spacing w:after="0" w:line="240" w:lineRule="auto"/>
        <w:jc w:val="center"/>
        <w:rPr>
          <w:rFonts w:ascii="Arial" w:hAnsi="Arial" w:cs="Arial"/>
          <w:b/>
          <w:bCs/>
          <w:color w:val="000000"/>
          <w:sz w:val="23"/>
          <w:szCs w:val="23"/>
        </w:rPr>
      </w:pPr>
    </w:p>
    <w:p w14:paraId="6699D1A4" w14:textId="77777777" w:rsidR="00AF1D1D" w:rsidRPr="00AF1D1D" w:rsidRDefault="00AF1D1D" w:rsidP="00AF1D1D">
      <w:pPr>
        <w:spacing w:after="0" w:line="240" w:lineRule="auto"/>
        <w:jc w:val="both"/>
        <w:rPr>
          <w:rFonts w:ascii="Arial" w:hAnsi="Arial" w:cs="Arial"/>
          <w:color w:val="000000"/>
          <w:sz w:val="23"/>
          <w:szCs w:val="23"/>
        </w:rPr>
      </w:pPr>
      <w:r w:rsidRPr="00B030EF">
        <w:rPr>
          <w:rFonts w:ascii="Arial" w:hAnsi="Arial" w:cs="Arial"/>
          <w:i/>
          <w:iCs/>
          <w:color w:val="000000"/>
          <w:sz w:val="23"/>
          <w:szCs w:val="23"/>
        </w:rPr>
        <w:t>Roma, 15 settembre 2025</w:t>
      </w:r>
      <w:r w:rsidRPr="00AF1D1D">
        <w:rPr>
          <w:rFonts w:ascii="Arial" w:hAnsi="Arial" w:cs="Arial"/>
          <w:color w:val="000000"/>
          <w:sz w:val="23"/>
          <w:szCs w:val="23"/>
        </w:rPr>
        <w:t xml:space="preserve"> – “Metodologie operative per mitigare i rischi di carbon washing” è il titolo del documento pubblicato oggi dal Consiglio e della Fondazione nazionali dei commercialisti, rientrante tra le attività dell’area di delega Sviluppo sostenibile (reporting, consulenza, formazione) del Consiglio nazionale e Aziendale della Fondazione nazionale – ricerca.</w:t>
      </w:r>
    </w:p>
    <w:p w14:paraId="28ECF185" w14:textId="77777777" w:rsidR="00AF1D1D" w:rsidRPr="00AF1D1D" w:rsidRDefault="00AF1D1D" w:rsidP="00AF1D1D">
      <w:pPr>
        <w:spacing w:after="0" w:line="240" w:lineRule="auto"/>
        <w:jc w:val="both"/>
        <w:rPr>
          <w:rFonts w:ascii="Arial" w:hAnsi="Arial" w:cs="Arial"/>
          <w:color w:val="000000"/>
          <w:sz w:val="23"/>
          <w:szCs w:val="23"/>
        </w:rPr>
      </w:pPr>
    </w:p>
    <w:p w14:paraId="360C6DAD" w14:textId="77777777" w:rsidR="00AF1D1D" w:rsidRPr="00AF1D1D" w:rsidRDefault="00AF1D1D" w:rsidP="00AF1D1D">
      <w:pPr>
        <w:spacing w:after="0" w:line="240" w:lineRule="auto"/>
        <w:jc w:val="both"/>
        <w:rPr>
          <w:rFonts w:ascii="Arial" w:hAnsi="Arial" w:cs="Arial"/>
          <w:color w:val="000000"/>
          <w:sz w:val="23"/>
          <w:szCs w:val="23"/>
        </w:rPr>
      </w:pPr>
      <w:r w:rsidRPr="00AF1D1D">
        <w:rPr>
          <w:rFonts w:ascii="Arial" w:hAnsi="Arial" w:cs="Arial"/>
          <w:color w:val="000000"/>
          <w:sz w:val="23"/>
          <w:szCs w:val="23"/>
        </w:rPr>
        <w:t xml:space="preserve">La riduzione delle emissioni di gas a effetto serra (GES) – </w:t>
      </w:r>
      <w:proofErr w:type="spellStart"/>
      <w:r w:rsidRPr="00AF1D1D">
        <w:rPr>
          <w:rFonts w:ascii="Arial" w:hAnsi="Arial" w:cs="Arial"/>
          <w:color w:val="000000"/>
          <w:sz w:val="23"/>
          <w:szCs w:val="23"/>
        </w:rPr>
        <w:t>greenhouse</w:t>
      </w:r>
      <w:proofErr w:type="spellEnd"/>
      <w:r w:rsidRPr="00AF1D1D">
        <w:rPr>
          <w:rFonts w:ascii="Arial" w:hAnsi="Arial" w:cs="Arial"/>
          <w:color w:val="000000"/>
          <w:sz w:val="23"/>
          <w:szCs w:val="23"/>
        </w:rPr>
        <w:t xml:space="preserve"> gas (GHG) </w:t>
      </w:r>
      <w:proofErr w:type="spellStart"/>
      <w:r w:rsidRPr="00AF1D1D">
        <w:rPr>
          <w:rFonts w:ascii="Arial" w:hAnsi="Arial" w:cs="Arial"/>
          <w:color w:val="000000"/>
          <w:sz w:val="23"/>
          <w:szCs w:val="23"/>
        </w:rPr>
        <w:t>emissions</w:t>
      </w:r>
      <w:proofErr w:type="spellEnd"/>
      <w:r w:rsidRPr="00AF1D1D">
        <w:rPr>
          <w:rFonts w:ascii="Arial" w:hAnsi="Arial" w:cs="Arial"/>
          <w:color w:val="000000"/>
          <w:sz w:val="23"/>
          <w:szCs w:val="23"/>
        </w:rPr>
        <w:t xml:space="preserve"> – in atmosfera e la mitigazione degli effetti del </w:t>
      </w:r>
      <w:proofErr w:type="spellStart"/>
      <w:r w:rsidRPr="00AF1D1D">
        <w:rPr>
          <w:rFonts w:ascii="Arial" w:hAnsi="Arial" w:cs="Arial"/>
          <w:color w:val="000000"/>
          <w:sz w:val="23"/>
          <w:szCs w:val="23"/>
        </w:rPr>
        <w:t>climate</w:t>
      </w:r>
      <w:proofErr w:type="spellEnd"/>
      <w:r w:rsidRPr="00AF1D1D">
        <w:rPr>
          <w:rFonts w:ascii="Arial" w:hAnsi="Arial" w:cs="Arial"/>
          <w:color w:val="000000"/>
          <w:sz w:val="23"/>
          <w:szCs w:val="23"/>
        </w:rPr>
        <w:t xml:space="preserve"> </w:t>
      </w:r>
      <w:proofErr w:type="spellStart"/>
      <w:r w:rsidRPr="00AF1D1D">
        <w:rPr>
          <w:rFonts w:ascii="Arial" w:hAnsi="Arial" w:cs="Arial"/>
          <w:color w:val="000000"/>
          <w:sz w:val="23"/>
          <w:szCs w:val="23"/>
        </w:rPr>
        <w:t>change</w:t>
      </w:r>
      <w:proofErr w:type="spellEnd"/>
      <w:r w:rsidRPr="00AF1D1D">
        <w:rPr>
          <w:rFonts w:ascii="Arial" w:hAnsi="Arial" w:cs="Arial"/>
          <w:color w:val="000000"/>
          <w:sz w:val="23"/>
          <w:szCs w:val="23"/>
        </w:rPr>
        <w:t xml:space="preserve"> sono temi centrali dell’attuale politica ambientale planetaria. La minaccia rappresentata dal greenwashing, con particolare riferimento alla sottostima delle emissioni di GES prodotte da un’organizzazione, viene definita carbon washing, pratica che risulta addirittura più insidiosa rispetto alla più generale forma di greenwashing, in ragione del valore anche finanziario attribuito alle prestazioni aziendali in termini di emissioni GES.</w:t>
      </w:r>
    </w:p>
    <w:p w14:paraId="2DEA6785" w14:textId="77777777" w:rsidR="00AF1D1D" w:rsidRPr="00AF1D1D" w:rsidRDefault="00AF1D1D" w:rsidP="00AF1D1D">
      <w:pPr>
        <w:spacing w:after="0" w:line="240" w:lineRule="auto"/>
        <w:jc w:val="both"/>
        <w:rPr>
          <w:rFonts w:ascii="Arial" w:hAnsi="Arial" w:cs="Arial"/>
          <w:color w:val="000000"/>
          <w:sz w:val="23"/>
          <w:szCs w:val="23"/>
        </w:rPr>
      </w:pPr>
    </w:p>
    <w:p w14:paraId="15D84B4F" w14:textId="77777777" w:rsidR="00AF1D1D" w:rsidRPr="00AF1D1D" w:rsidRDefault="00AF1D1D" w:rsidP="00AF1D1D">
      <w:pPr>
        <w:spacing w:after="0" w:line="240" w:lineRule="auto"/>
        <w:jc w:val="both"/>
        <w:rPr>
          <w:rFonts w:ascii="Arial" w:hAnsi="Arial" w:cs="Arial"/>
          <w:color w:val="000000"/>
          <w:sz w:val="23"/>
          <w:szCs w:val="23"/>
        </w:rPr>
      </w:pPr>
      <w:r w:rsidRPr="00AF1D1D">
        <w:rPr>
          <w:rFonts w:ascii="Arial" w:hAnsi="Arial" w:cs="Arial"/>
          <w:color w:val="000000"/>
          <w:sz w:val="23"/>
          <w:szCs w:val="23"/>
        </w:rPr>
        <w:t xml:space="preserve">A livello unionale, lo sviluppo di standard di rendicontazione e monitoraggio dei livelli di sostenibilità aziendale si è sviluppato in modo lento e disorganico e ciò ha incentivato le imprese meno virtuose a comunicare green </w:t>
      </w:r>
      <w:proofErr w:type="spellStart"/>
      <w:r w:rsidRPr="00AF1D1D">
        <w:rPr>
          <w:rFonts w:ascii="Arial" w:hAnsi="Arial" w:cs="Arial"/>
          <w:color w:val="000000"/>
          <w:sz w:val="23"/>
          <w:szCs w:val="23"/>
        </w:rPr>
        <w:t>claims</w:t>
      </w:r>
      <w:proofErr w:type="spellEnd"/>
      <w:r w:rsidRPr="00AF1D1D">
        <w:rPr>
          <w:rFonts w:ascii="Arial" w:hAnsi="Arial" w:cs="Arial"/>
          <w:color w:val="000000"/>
          <w:sz w:val="23"/>
          <w:szCs w:val="23"/>
        </w:rPr>
        <w:t xml:space="preserve"> ingannevoli riferiti a performance ambientali non corrispondenti al loro effettivo impatto ambientale.</w:t>
      </w:r>
    </w:p>
    <w:p w14:paraId="485C9038" w14:textId="77777777" w:rsidR="00AF1D1D" w:rsidRPr="00AF1D1D" w:rsidRDefault="00AF1D1D" w:rsidP="00AF1D1D">
      <w:pPr>
        <w:spacing w:after="0" w:line="240" w:lineRule="auto"/>
        <w:jc w:val="both"/>
        <w:rPr>
          <w:rFonts w:ascii="Arial" w:hAnsi="Arial" w:cs="Arial"/>
          <w:color w:val="000000"/>
          <w:sz w:val="23"/>
          <w:szCs w:val="23"/>
        </w:rPr>
      </w:pPr>
    </w:p>
    <w:p w14:paraId="25CDD7CA" w14:textId="77777777" w:rsidR="00AF1D1D" w:rsidRPr="00AF1D1D" w:rsidRDefault="00AF1D1D" w:rsidP="00AF1D1D">
      <w:pPr>
        <w:spacing w:after="0" w:line="240" w:lineRule="auto"/>
        <w:jc w:val="both"/>
        <w:rPr>
          <w:rFonts w:ascii="Arial" w:hAnsi="Arial" w:cs="Arial"/>
          <w:color w:val="000000"/>
          <w:sz w:val="23"/>
          <w:szCs w:val="23"/>
        </w:rPr>
      </w:pPr>
      <w:r w:rsidRPr="00AF1D1D">
        <w:rPr>
          <w:rFonts w:ascii="Arial" w:hAnsi="Arial" w:cs="Arial"/>
          <w:color w:val="000000"/>
          <w:sz w:val="23"/>
          <w:szCs w:val="23"/>
        </w:rPr>
        <w:t>Il crescente interesse verso le strategie di decarbonizzazione adottate dalle organizzazioni esercita una pressione significativa sulle imprese, sia sul piano degli obblighi normativi, sia sotto il profilo reputazionale, affinché riducano il proprio impatto ambientale. In tale contesto, le imprese sono incentivate a orientarsi verso modelli di business climaticamente neutrali e catene del valore caratterizzate da basse emissioni. In modo simmetrico, anche le istituzioni finanziarie sono oggetto di un’attenzione crescente, chiamate a intraprendere percorsi di decarbonizzazione dei propri portafogli di investimento e ad astenersi dal finanziare o sostenere, tramite sottoscrizioni, progetti, attività e asset ad alta intensità di carbonio.</w:t>
      </w:r>
    </w:p>
    <w:p w14:paraId="31106655" w14:textId="77777777" w:rsidR="00AF1D1D" w:rsidRPr="00AF1D1D" w:rsidRDefault="00AF1D1D" w:rsidP="00AF1D1D">
      <w:pPr>
        <w:spacing w:after="0" w:line="240" w:lineRule="auto"/>
        <w:jc w:val="both"/>
        <w:rPr>
          <w:rFonts w:ascii="Arial" w:hAnsi="Arial" w:cs="Arial"/>
          <w:color w:val="000000"/>
          <w:sz w:val="23"/>
          <w:szCs w:val="23"/>
        </w:rPr>
      </w:pPr>
    </w:p>
    <w:p w14:paraId="64DC1BCD" w14:textId="77777777" w:rsidR="00AF1D1D" w:rsidRPr="00AF1D1D" w:rsidRDefault="00AF1D1D" w:rsidP="00AF1D1D">
      <w:pPr>
        <w:spacing w:after="0" w:line="240" w:lineRule="auto"/>
        <w:jc w:val="both"/>
        <w:rPr>
          <w:rFonts w:ascii="Arial" w:hAnsi="Arial" w:cs="Arial"/>
          <w:color w:val="000000"/>
          <w:sz w:val="23"/>
          <w:szCs w:val="23"/>
        </w:rPr>
      </w:pPr>
      <w:r w:rsidRPr="00AF1D1D">
        <w:rPr>
          <w:rFonts w:ascii="Arial" w:hAnsi="Arial" w:cs="Arial"/>
          <w:color w:val="000000"/>
          <w:sz w:val="23"/>
          <w:szCs w:val="23"/>
        </w:rPr>
        <w:t>Si assiste a un’ipertrofica attività di green marketing delle imprese, volta ad anticipare al mercato l’impegno a realizzare efficaci strategie di decarbonizzazione cui tuttavia non corrisponde attualmente un’adeguata possibilità di verificarne la concreta implementazione.</w:t>
      </w:r>
    </w:p>
    <w:p w14:paraId="6B2362E2" w14:textId="77777777" w:rsidR="00AF1D1D" w:rsidRPr="00AF1D1D" w:rsidRDefault="00AF1D1D" w:rsidP="00AF1D1D">
      <w:pPr>
        <w:spacing w:after="0" w:line="240" w:lineRule="auto"/>
        <w:jc w:val="both"/>
        <w:rPr>
          <w:rFonts w:ascii="Arial" w:hAnsi="Arial" w:cs="Arial"/>
          <w:color w:val="000000"/>
          <w:sz w:val="23"/>
          <w:szCs w:val="23"/>
        </w:rPr>
      </w:pPr>
      <w:r w:rsidRPr="00AF1D1D">
        <w:rPr>
          <w:rFonts w:ascii="Arial" w:hAnsi="Arial" w:cs="Arial"/>
          <w:color w:val="000000"/>
          <w:sz w:val="23"/>
          <w:szCs w:val="23"/>
        </w:rPr>
        <w:t xml:space="preserve">Questa significativa attività di </w:t>
      </w:r>
      <w:proofErr w:type="spellStart"/>
      <w:r w:rsidRPr="00AF1D1D">
        <w:rPr>
          <w:rFonts w:ascii="Arial" w:hAnsi="Arial" w:cs="Arial"/>
          <w:color w:val="000000"/>
          <w:sz w:val="23"/>
          <w:szCs w:val="23"/>
        </w:rPr>
        <w:t>frontloading</w:t>
      </w:r>
      <w:proofErr w:type="spellEnd"/>
      <w:r w:rsidRPr="00AF1D1D">
        <w:rPr>
          <w:rFonts w:ascii="Arial" w:hAnsi="Arial" w:cs="Arial"/>
          <w:color w:val="000000"/>
          <w:sz w:val="23"/>
          <w:szCs w:val="23"/>
        </w:rPr>
        <w:t xml:space="preserve"> aziendale si traduce in green </w:t>
      </w:r>
      <w:proofErr w:type="spellStart"/>
      <w:r w:rsidRPr="00AF1D1D">
        <w:rPr>
          <w:rFonts w:ascii="Arial" w:hAnsi="Arial" w:cs="Arial"/>
          <w:color w:val="000000"/>
          <w:sz w:val="23"/>
          <w:szCs w:val="23"/>
        </w:rPr>
        <w:t>claims</w:t>
      </w:r>
      <w:proofErr w:type="spellEnd"/>
      <w:r w:rsidRPr="00AF1D1D">
        <w:rPr>
          <w:rFonts w:ascii="Arial" w:hAnsi="Arial" w:cs="Arial"/>
          <w:color w:val="000000"/>
          <w:sz w:val="23"/>
          <w:szCs w:val="23"/>
        </w:rPr>
        <w:t xml:space="preserve"> finalizzati a pubblicizzare gli sforzi delle organizzazioni in termini di mitigazione degli effetti del cambiamento climatico ai quali però non corrisponde l’implementazione di tangibili iniziative aziendali (concretamente misurabili, rendicontabili e verificabili) volte alla effettiva riduzione delle emissioni di GES. La comunicazione di green </w:t>
      </w:r>
      <w:proofErr w:type="spellStart"/>
      <w:r w:rsidRPr="00AF1D1D">
        <w:rPr>
          <w:rFonts w:ascii="Arial" w:hAnsi="Arial" w:cs="Arial"/>
          <w:color w:val="000000"/>
          <w:sz w:val="23"/>
          <w:szCs w:val="23"/>
        </w:rPr>
        <w:t>claims</w:t>
      </w:r>
      <w:proofErr w:type="spellEnd"/>
      <w:r w:rsidRPr="00AF1D1D">
        <w:rPr>
          <w:rFonts w:ascii="Arial" w:hAnsi="Arial" w:cs="Arial"/>
          <w:color w:val="000000"/>
          <w:sz w:val="23"/>
          <w:szCs w:val="23"/>
        </w:rPr>
        <w:t xml:space="preserve"> ingannevoli e della falsa rendicontazione delle performance aziendali in materia di emissioni di carbonio può creare un sistema “basso-rischio-alta ricompensa” tale da determinare un forte incentivo per le imprese meno virtuose a impegnarsi in una falsa rendicontazione delle emissioni.</w:t>
      </w:r>
    </w:p>
    <w:p w14:paraId="7908CDFB" w14:textId="77777777" w:rsidR="00AF1D1D" w:rsidRPr="00AF1D1D" w:rsidRDefault="00AF1D1D" w:rsidP="00AF1D1D">
      <w:pPr>
        <w:spacing w:after="0" w:line="240" w:lineRule="auto"/>
        <w:jc w:val="both"/>
        <w:rPr>
          <w:rFonts w:ascii="Arial" w:hAnsi="Arial" w:cs="Arial"/>
          <w:color w:val="000000"/>
          <w:sz w:val="23"/>
          <w:szCs w:val="23"/>
        </w:rPr>
      </w:pPr>
    </w:p>
    <w:p w14:paraId="4344456B" w14:textId="47956905" w:rsidR="00C7553E" w:rsidRPr="00AF1D1D" w:rsidRDefault="00AF1D1D" w:rsidP="00AF1D1D">
      <w:pPr>
        <w:spacing w:after="0" w:line="240" w:lineRule="auto"/>
        <w:jc w:val="both"/>
        <w:rPr>
          <w:rFonts w:ascii="Arial" w:hAnsi="Arial" w:cs="Arial"/>
          <w:kern w:val="0"/>
          <w:sz w:val="23"/>
          <w:szCs w:val="23"/>
        </w:rPr>
      </w:pPr>
      <w:r w:rsidRPr="00AF1D1D">
        <w:rPr>
          <w:rFonts w:ascii="Arial" w:hAnsi="Arial" w:cs="Arial"/>
          <w:color w:val="000000"/>
          <w:sz w:val="23"/>
          <w:szCs w:val="23"/>
        </w:rPr>
        <w:t>Il documento dei commercialisti descrive le metodologie ritenute più efficaci per contrastare i casi di carbon washing nelle imprese e il correlato rischio di frodi.</w:t>
      </w:r>
    </w:p>
    <w:sectPr w:rsidR="00C7553E" w:rsidRPr="00AF1D1D">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76B83" w14:textId="77777777" w:rsidR="001701E2" w:rsidRDefault="001701E2" w:rsidP="00A57D38">
      <w:pPr>
        <w:spacing w:after="0" w:line="240" w:lineRule="auto"/>
      </w:pPr>
      <w:r>
        <w:separator/>
      </w:r>
    </w:p>
  </w:endnote>
  <w:endnote w:type="continuationSeparator" w:id="0">
    <w:p w14:paraId="7FEA3DB5" w14:textId="77777777" w:rsidR="001701E2" w:rsidRDefault="001701E2" w:rsidP="00A57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47A48" w14:textId="77777777" w:rsidR="001701E2" w:rsidRDefault="001701E2" w:rsidP="00A57D38">
      <w:pPr>
        <w:spacing w:after="0" w:line="240" w:lineRule="auto"/>
      </w:pPr>
      <w:r>
        <w:separator/>
      </w:r>
    </w:p>
  </w:footnote>
  <w:footnote w:type="continuationSeparator" w:id="0">
    <w:p w14:paraId="61615A79" w14:textId="77777777" w:rsidR="001701E2" w:rsidRDefault="001701E2" w:rsidP="00A57D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010A1" w14:textId="54DE1EA9" w:rsidR="00A57D38" w:rsidRDefault="00A57D38" w:rsidP="00A57D38">
    <w:pPr>
      <w:pStyle w:val="Intestazione"/>
      <w:jc w:val="center"/>
    </w:pPr>
    <w:r w:rsidRPr="00F6138D">
      <w:rPr>
        <w:noProof/>
        <w:lang w:eastAsia="it-IT"/>
      </w:rPr>
      <w:drawing>
        <wp:inline distT="0" distB="0" distL="0" distR="0" wp14:anchorId="45169683" wp14:editId="3070078B">
          <wp:extent cx="2314575" cy="781050"/>
          <wp:effectExtent l="0" t="0" r="0" b="0"/>
          <wp:docPr id="1109192327"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781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8E961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916C44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700048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53922285">
    <w:abstractNumId w:val="1"/>
  </w:num>
  <w:num w:numId="2" w16cid:durableId="47654393">
    <w:abstractNumId w:val="2"/>
  </w:num>
  <w:num w:numId="3" w16cid:durableId="149905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B20"/>
    <w:rsid w:val="00035541"/>
    <w:rsid w:val="00076CEA"/>
    <w:rsid w:val="000879E9"/>
    <w:rsid w:val="000B02CC"/>
    <w:rsid w:val="000D37E4"/>
    <w:rsid w:val="000D5879"/>
    <w:rsid w:val="000F7086"/>
    <w:rsid w:val="00106156"/>
    <w:rsid w:val="00154D1E"/>
    <w:rsid w:val="001566ED"/>
    <w:rsid w:val="001701E2"/>
    <w:rsid w:val="001B1AFB"/>
    <w:rsid w:val="001D2561"/>
    <w:rsid w:val="001E42B5"/>
    <w:rsid w:val="00220883"/>
    <w:rsid w:val="00227893"/>
    <w:rsid w:val="002B1079"/>
    <w:rsid w:val="002D511F"/>
    <w:rsid w:val="002F241B"/>
    <w:rsid w:val="00300C69"/>
    <w:rsid w:val="003369F9"/>
    <w:rsid w:val="003507F7"/>
    <w:rsid w:val="003739DF"/>
    <w:rsid w:val="00396817"/>
    <w:rsid w:val="003A4F3F"/>
    <w:rsid w:val="003B5D81"/>
    <w:rsid w:val="003B6B20"/>
    <w:rsid w:val="003C6E20"/>
    <w:rsid w:val="003D21D6"/>
    <w:rsid w:val="00462ADA"/>
    <w:rsid w:val="004A7B83"/>
    <w:rsid w:val="004B6FA2"/>
    <w:rsid w:val="004D76E4"/>
    <w:rsid w:val="004E2BA6"/>
    <w:rsid w:val="00505F8D"/>
    <w:rsid w:val="00522640"/>
    <w:rsid w:val="005315AC"/>
    <w:rsid w:val="005416BD"/>
    <w:rsid w:val="00543A7A"/>
    <w:rsid w:val="00544D0B"/>
    <w:rsid w:val="00592D37"/>
    <w:rsid w:val="005C0771"/>
    <w:rsid w:val="00600B5B"/>
    <w:rsid w:val="00607179"/>
    <w:rsid w:val="00677E20"/>
    <w:rsid w:val="006C2AEE"/>
    <w:rsid w:val="006F468A"/>
    <w:rsid w:val="00713B6B"/>
    <w:rsid w:val="00727620"/>
    <w:rsid w:val="00795931"/>
    <w:rsid w:val="007F11F1"/>
    <w:rsid w:val="008C5196"/>
    <w:rsid w:val="00901225"/>
    <w:rsid w:val="00952FAE"/>
    <w:rsid w:val="0097099A"/>
    <w:rsid w:val="00987E6C"/>
    <w:rsid w:val="009B2452"/>
    <w:rsid w:val="009D18F4"/>
    <w:rsid w:val="009D30A8"/>
    <w:rsid w:val="00A1045D"/>
    <w:rsid w:val="00A105D4"/>
    <w:rsid w:val="00A1160C"/>
    <w:rsid w:val="00A40A44"/>
    <w:rsid w:val="00A5427D"/>
    <w:rsid w:val="00A57D38"/>
    <w:rsid w:val="00A929A9"/>
    <w:rsid w:val="00AA7890"/>
    <w:rsid w:val="00AD1631"/>
    <w:rsid w:val="00AD6F41"/>
    <w:rsid w:val="00AD6FEC"/>
    <w:rsid w:val="00AE1A14"/>
    <w:rsid w:val="00AF1D1D"/>
    <w:rsid w:val="00B030EF"/>
    <w:rsid w:val="00B03A4C"/>
    <w:rsid w:val="00B51AF3"/>
    <w:rsid w:val="00B55508"/>
    <w:rsid w:val="00B6107D"/>
    <w:rsid w:val="00BA61F7"/>
    <w:rsid w:val="00BA7D27"/>
    <w:rsid w:val="00BB325B"/>
    <w:rsid w:val="00BD1A0F"/>
    <w:rsid w:val="00BE4889"/>
    <w:rsid w:val="00BF587A"/>
    <w:rsid w:val="00C00443"/>
    <w:rsid w:val="00C33BF2"/>
    <w:rsid w:val="00C33EDC"/>
    <w:rsid w:val="00C61F00"/>
    <w:rsid w:val="00C632E9"/>
    <w:rsid w:val="00C7553E"/>
    <w:rsid w:val="00C97980"/>
    <w:rsid w:val="00CC633C"/>
    <w:rsid w:val="00CE4415"/>
    <w:rsid w:val="00D4602D"/>
    <w:rsid w:val="00D73475"/>
    <w:rsid w:val="00DB69C1"/>
    <w:rsid w:val="00DE0137"/>
    <w:rsid w:val="00DE030C"/>
    <w:rsid w:val="00DE44CE"/>
    <w:rsid w:val="00DF605A"/>
    <w:rsid w:val="00E14B67"/>
    <w:rsid w:val="00EA565A"/>
    <w:rsid w:val="00ED7DD3"/>
    <w:rsid w:val="00ED7FAF"/>
    <w:rsid w:val="00EE1592"/>
    <w:rsid w:val="00EF56BE"/>
    <w:rsid w:val="00F1389A"/>
    <w:rsid w:val="00F24A4B"/>
    <w:rsid w:val="00F518EB"/>
    <w:rsid w:val="00F75D1F"/>
    <w:rsid w:val="00F927CA"/>
    <w:rsid w:val="00FB0AA0"/>
    <w:rsid w:val="00FE0877"/>
    <w:rsid w:val="00FE1D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CA505"/>
  <w15:chartTrackingRefBased/>
  <w15:docId w15:val="{918E96B5-BADA-42AC-8590-38402975C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B6B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B6B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B6B2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B6B2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B6B2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B6B2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B6B2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B6B2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B6B2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B6B2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B6B2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B6B2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B6B2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B6B2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B6B2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B6B2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B6B2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B6B20"/>
    <w:rPr>
      <w:rFonts w:eastAsiaTheme="majorEastAsia" w:cstheme="majorBidi"/>
      <w:color w:val="272727" w:themeColor="text1" w:themeTint="D8"/>
    </w:rPr>
  </w:style>
  <w:style w:type="paragraph" w:styleId="Titolo">
    <w:name w:val="Title"/>
    <w:basedOn w:val="Normale"/>
    <w:next w:val="Normale"/>
    <w:link w:val="TitoloCarattere"/>
    <w:uiPriority w:val="10"/>
    <w:qFormat/>
    <w:rsid w:val="003B6B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B6B2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B6B2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B6B2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B6B2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B6B20"/>
    <w:rPr>
      <w:i/>
      <w:iCs/>
      <w:color w:val="404040" w:themeColor="text1" w:themeTint="BF"/>
    </w:rPr>
  </w:style>
  <w:style w:type="paragraph" w:styleId="Paragrafoelenco">
    <w:name w:val="List Paragraph"/>
    <w:basedOn w:val="Normale"/>
    <w:uiPriority w:val="34"/>
    <w:qFormat/>
    <w:rsid w:val="003B6B20"/>
    <w:pPr>
      <w:ind w:left="720"/>
      <w:contextualSpacing/>
    </w:pPr>
  </w:style>
  <w:style w:type="character" w:styleId="Enfasiintensa">
    <w:name w:val="Intense Emphasis"/>
    <w:basedOn w:val="Carpredefinitoparagrafo"/>
    <w:uiPriority w:val="21"/>
    <w:qFormat/>
    <w:rsid w:val="003B6B20"/>
    <w:rPr>
      <w:i/>
      <w:iCs/>
      <w:color w:val="0F4761" w:themeColor="accent1" w:themeShade="BF"/>
    </w:rPr>
  </w:style>
  <w:style w:type="paragraph" w:styleId="Citazioneintensa">
    <w:name w:val="Intense Quote"/>
    <w:basedOn w:val="Normale"/>
    <w:next w:val="Normale"/>
    <w:link w:val="CitazioneintensaCarattere"/>
    <w:uiPriority w:val="30"/>
    <w:qFormat/>
    <w:rsid w:val="003B6B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B6B20"/>
    <w:rPr>
      <w:i/>
      <w:iCs/>
      <w:color w:val="0F4761" w:themeColor="accent1" w:themeShade="BF"/>
    </w:rPr>
  </w:style>
  <w:style w:type="character" w:styleId="Riferimentointenso">
    <w:name w:val="Intense Reference"/>
    <w:basedOn w:val="Carpredefinitoparagrafo"/>
    <w:uiPriority w:val="32"/>
    <w:qFormat/>
    <w:rsid w:val="003B6B20"/>
    <w:rPr>
      <w:b/>
      <w:bCs/>
      <w:smallCaps/>
      <w:color w:val="0F4761" w:themeColor="accent1" w:themeShade="BF"/>
      <w:spacing w:val="5"/>
    </w:rPr>
  </w:style>
  <w:style w:type="paragraph" w:customStyle="1" w:styleId="atext">
    <w:name w:val="atext"/>
    <w:basedOn w:val="Normale"/>
    <w:rsid w:val="003B6B20"/>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paragraph" w:styleId="Intestazione">
    <w:name w:val="header"/>
    <w:basedOn w:val="Normale"/>
    <w:link w:val="IntestazioneCarattere"/>
    <w:uiPriority w:val="99"/>
    <w:unhideWhenUsed/>
    <w:rsid w:val="00A57D3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7D38"/>
  </w:style>
  <w:style w:type="paragraph" w:styleId="Pidipagina">
    <w:name w:val="footer"/>
    <w:basedOn w:val="Normale"/>
    <w:link w:val="PidipaginaCarattere"/>
    <w:uiPriority w:val="99"/>
    <w:unhideWhenUsed/>
    <w:rsid w:val="00A57D3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7D38"/>
  </w:style>
  <w:style w:type="paragraph" w:styleId="NormaleWeb">
    <w:name w:val="Normal (Web)"/>
    <w:basedOn w:val="Normale"/>
    <w:uiPriority w:val="99"/>
    <w:unhideWhenUsed/>
    <w:rsid w:val="00CE4415"/>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CE4415"/>
    <w:rPr>
      <w:b/>
      <w:bCs/>
    </w:rPr>
  </w:style>
  <w:style w:type="character" w:styleId="Collegamentoipertestuale">
    <w:name w:val="Hyperlink"/>
    <w:basedOn w:val="Carpredefinitoparagrafo"/>
    <w:uiPriority w:val="99"/>
    <w:semiHidden/>
    <w:unhideWhenUsed/>
    <w:rsid w:val="006C2AEE"/>
    <w:rPr>
      <w:color w:val="0000FF"/>
      <w:u w:val="single"/>
    </w:rPr>
  </w:style>
  <w:style w:type="paragraph" w:styleId="Revisione">
    <w:name w:val="Revision"/>
    <w:hidden/>
    <w:uiPriority w:val="99"/>
    <w:semiHidden/>
    <w:rsid w:val="00A1045D"/>
    <w:pPr>
      <w:spacing w:after="0" w:line="240" w:lineRule="auto"/>
    </w:pPr>
  </w:style>
  <w:style w:type="paragraph" w:styleId="Testonotaapidipagina">
    <w:name w:val="footnote text"/>
    <w:basedOn w:val="Normale"/>
    <w:link w:val="TestonotaapidipaginaCarattere"/>
    <w:uiPriority w:val="99"/>
    <w:semiHidden/>
    <w:unhideWhenUsed/>
    <w:rsid w:val="00FE0877"/>
    <w:pPr>
      <w:spacing w:after="0" w:line="240" w:lineRule="auto"/>
      <w:jc w:val="both"/>
    </w:pPr>
    <w:rPr>
      <w:rFonts w:eastAsiaTheme="minorEastAsia"/>
      <w:color w:val="595959" w:themeColor="text1" w:themeTint="A6"/>
      <w:kern w:val="0"/>
      <w:sz w:val="20"/>
      <w:szCs w:val="20"/>
      <w14:ligatures w14:val="none"/>
    </w:rPr>
  </w:style>
  <w:style w:type="character" w:customStyle="1" w:styleId="TestonotaapidipaginaCarattere">
    <w:name w:val="Testo nota a piè di pagina Carattere"/>
    <w:basedOn w:val="Carpredefinitoparagrafo"/>
    <w:link w:val="Testonotaapidipagina"/>
    <w:uiPriority w:val="99"/>
    <w:semiHidden/>
    <w:rsid w:val="00FE0877"/>
    <w:rPr>
      <w:rFonts w:eastAsiaTheme="minorEastAsia"/>
      <w:color w:val="595959" w:themeColor="text1" w:themeTint="A6"/>
      <w:kern w:val="0"/>
      <w:sz w:val="20"/>
      <w:szCs w:val="20"/>
      <w14:ligatures w14:val="none"/>
    </w:rPr>
  </w:style>
  <w:style w:type="character" w:styleId="Rimandonotaapidipagina">
    <w:name w:val="footnote reference"/>
    <w:aliases w:val="Rimando nota a piè di pagina 2"/>
    <w:uiPriority w:val="99"/>
    <w:unhideWhenUsed/>
    <w:rsid w:val="00FE08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744806">
      <w:bodyDiv w:val="1"/>
      <w:marLeft w:val="0"/>
      <w:marRight w:val="0"/>
      <w:marTop w:val="0"/>
      <w:marBottom w:val="0"/>
      <w:divBdr>
        <w:top w:val="none" w:sz="0" w:space="0" w:color="auto"/>
        <w:left w:val="none" w:sz="0" w:space="0" w:color="auto"/>
        <w:bottom w:val="none" w:sz="0" w:space="0" w:color="auto"/>
        <w:right w:val="none" w:sz="0" w:space="0" w:color="auto"/>
      </w:divBdr>
    </w:div>
    <w:div w:id="1833837499">
      <w:bodyDiv w:val="1"/>
      <w:marLeft w:val="0"/>
      <w:marRight w:val="0"/>
      <w:marTop w:val="0"/>
      <w:marBottom w:val="0"/>
      <w:divBdr>
        <w:top w:val="none" w:sz="0" w:space="0" w:color="auto"/>
        <w:left w:val="none" w:sz="0" w:space="0" w:color="auto"/>
        <w:bottom w:val="none" w:sz="0" w:space="0" w:color="auto"/>
        <w:right w:val="none" w:sz="0" w:space="0" w:color="auto"/>
      </w:divBdr>
    </w:div>
    <w:div w:id="193628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DE2F8-84A8-46C9-90CA-C39089A6B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525</Words>
  <Characters>2998</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16</cp:revision>
  <cp:lastPrinted>2025-07-29T14:36:00Z</cp:lastPrinted>
  <dcterms:created xsi:type="dcterms:W3CDTF">2025-09-10T15:47:00Z</dcterms:created>
  <dcterms:modified xsi:type="dcterms:W3CDTF">2025-09-16T07:28:00Z</dcterms:modified>
</cp:coreProperties>
</file>