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6605" w14:textId="77777777" w:rsidR="00D26AD8" w:rsidRDefault="00D26AD8" w:rsidP="00D26AD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DCF97AD" w14:textId="77777777" w:rsidR="006A58A0" w:rsidRPr="006A58A0" w:rsidRDefault="006A58A0" w:rsidP="006A58A0">
      <w:pPr>
        <w:jc w:val="center"/>
        <w:rPr>
          <w:rFonts w:ascii="Arial" w:eastAsia="Times New Roman" w:hAnsi="Arial" w:cs="Arial"/>
          <w:color w:val="000000"/>
          <w:u w:val="single"/>
        </w:rPr>
      </w:pPr>
      <w:r w:rsidRPr="006A58A0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5FFAA85B" w14:textId="77777777" w:rsidR="006A58A0" w:rsidRPr="006A58A0" w:rsidRDefault="006A58A0" w:rsidP="006A58A0">
      <w:pPr>
        <w:jc w:val="center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b/>
          <w:bCs/>
          <w:color w:val="000000"/>
        </w:rPr>
        <w:t> </w:t>
      </w:r>
    </w:p>
    <w:p w14:paraId="2E19831A" w14:textId="77777777" w:rsidR="006A58A0" w:rsidRPr="006A58A0" w:rsidRDefault="006A58A0" w:rsidP="006A58A0">
      <w:pPr>
        <w:jc w:val="center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b/>
          <w:bCs/>
          <w:color w:val="000000"/>
        </w:rPr>
        <w:t>COMMERCIALISTI: SULLA RIFORMA</w:t>
      </w:r>
    </w:p>
    <w:p w14:paraId="23C74055" w14:textId="77777777" w:rsidR="006A58A0" w:rsidRPr="006A58A0" w:rsidRDefault="006A58A0" w:rsidP="006A58A0">
      <w:pPr>
        <w:jc w:val="center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b/>
          <w:bCs/>
          <w:color w:val="000000"/>
        </w:rPr>
        <w:t>DA CASSA RAGIONIERI OSSERVAZIONI INFONDATE</w:t>
      </w:r>
    </w:p>
    <w:p w14:paraId="2DFBC616" w14:textId="77777777" w:rsidR="006A58A0" w:rsidRPr="006A58A0" w:rsidRDefault="006A58A0" w:rsidP="006A58A0">
      <w:pPr>
        <w:jc w:val="center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b/>
          <w:bCs/>
          <w:color w:val="000000"/>
        </w:rPr>
        <w:t> </w:t>
      </w:r>
    </w:p>
    <w:p w14:paraId="2EEAFF3A" w14:textId="77777777" w:rsidR="006A58A0" w:rsidRPr="006A58A0" w:rsidRDefault="006A58A0" w:rsidP="006A58A0">
      <w:pPr>
        <w:jc w:val="center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b/>
          <w:bCs/>
          <w:color w:val="000000"/>
        </w:rPr>
        <w:t>Il Consiglio nazionale della categoria: “Timori su default del tutto pretestuosi”</w:t>
      </w:r>
    </w:p>
    <w:p w14:paraId="084E279E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3952A02E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i/>
          <w:iCs/>
          <w:color w:val="000000"/>
        </w:rPr>
        <w:t>Roma, 5 settembre 2025</w:t>
      </w:r>
      <w:r w:rsidRPr="006A58A0">
        <w:rPr>
          <w:rFonts w:ascii="Arial" w:eastAsia="Times New Roman" w:hAnsi="Arial" w:cs="Arial"/>
          <w:color w:val="000000"/>
        </w:rPr>
        <w:t xml:space="preserve"> – “Il comunicato diffuso oggi dalla Cassa nazionale di previdenza ed assistenza a favore dei ragionieri e periti commerciali (CNPR), relativo ad alcuni aspetti del disegno di legge delega di riforma dell’Ordinamento dei dottori commercialisti e degli esperti contabili, contiene osservazioni </w:t>
      </w:r>
      <w:r w:rsidRPr="006A58A0">
        <w:rPr>
          <w:rFonts w:ascii="Arial" w:eastAsia="Times New Roman" w:hAnsi="Arial" w:cs="Arial"/>
          <w:b/>
          <w:bCs/>
          <w:color w:val="000000"/>
        </w:rPr>
        <w:t>del tutto prive di fondamento e pretestuose</w:t>
      </w:r>
      <w:r w:rsidRPr="006A58A0">
        <w:rPr>
          <w:rFonts w:ascii="Arial" w:eastAsia="Times New Roman" w:hAnsi="Arial" w:cs="Arial"/>
          <w:color w:val="000000"/>
        </w:rPr>
        <w:t xml:space="preserve">, che favoriscono una </w:t>
      </w:r>
      <w:r w:rsidRPr="006A58A0">
        <w:rPr>
          <w:rFonts w:ascii="Arial" w:eastAsia="Times New Roman" w:hAnsi="Arial" w:cs="Arial"/>
          <w:b/>
          <w:bCs/>
          <w:color w:val="000000"/>
        </w:rPr>
        <w:t>lettura distorta</w:t>
      </w:r>
      <w:r w:rsidRPr="006A58A0">
        <w:rPr>
          <w:rFonts w:ascii="Arial" w:eastAsia="Times New Roman" w:hAnsi="Arial" w:cs="Arial"/>
          <w:color w:val="000000"/>
        </w:rPr>
        <w:t xml:space="preserve"> delle previsioni contenute nella proposta di riforma stessa”. È quanto afferma in una nota il </w:t>
      </w:r>
      <w:r w:rsidRPr="006A58A0">
        <w:rPr>
          <w:rFonts w:ascii="Arial" w:eastAsia="Times New Roman" w:hAnsi="Arial" w:cs="Arial"/>
          <w:b/>
          <w:bCs/>
          <w:color w:val="000000"/>
        </w:rPr>
        <w:t>Consiglio nazionale</w:t>
      </w:r>
      <w:r w:rsidRPr="006A58A0">
        <w:rPr>
          <w:rFonts w:ascii="Arial" w:eastAsia="Times New Roman" w:hAnsi="Arial" w:cs="Arial"/>
          <w:color w:val="000000"/>
        </w:rPr>
        <w:t> della categoria professionale.</w:t>
      </w:r>
    </w:p>
    <w:p w14:paraId="31D7DF00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4192D81E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“La misura contestata, ossia la possibilità di svolgere l</w:t>
      </w:r>
      <w:r w:rsidRPr="006A58A0">
        <w:rPr>
          <w:rFonts w:ascii="Arial" w:eastAsia="Times New Roman" w:hAnsi="Arial" w:cs="Arial"/>
          <w:b/>
          <w:bCs/>
          <w:color w:val="000000"/>
        </w:rPr>
        <w:t xml:space="preserve">’intero tirocinio </w:t>
      </w:r>
      <w:r w:rsidRPr="006A58A0">
        <w:rPr>
          <w:rFonts w:ascii="Arial" w:eastAsia="Times New Roman" w:hAnsi="Arial" w:cs="Arial"/>
          <w:color w:val="000000"/>
        </w:rPr>
        <w:t xml:space="preserve">per l’iscrizione alla </w:t>
      </w:r>
      <w:r w:rsidRPr="006A58A0">
        <w:rPr>
          <w:rFonts w:ascii="Arial" w:eastAsia="Times New Roman" w:hAnsi="Arial" w:cs="Arial"/>
          <w:b/>
          <w:bCs/>
          <w:color w:val="000000"/>
        </w:rPr>
        <w:t>sezione A dell’albo</w:t>
      </w:r>
      <w:r w:rsidRPr="006A58A0">
        <w:rPr>
          <w:rFonts w:ascii="Arial" w:eastAsia="Times New Roman" w:hAnsi="Arial" w:cs="Arial"/>
          <w:color w:val="000000"/>
        </w:rPr>
        <w:t xml:space="preserve"> durante la laurea magistrale, non ha alcun impatto sulla </w:t>
      </w:r>
      <w:r w:rsidRPr="006A58A0">
        <w:rPr>
          <w:rFonts w:ascii="Arial" w:eastAsia="Times New Roman" w:hAnsi="Arial" w:cs="Arial"/>
          <w:b/>
          <w:bCs/>
          <w:color w:val="000000"/>
        </w:rPr>
        <w:t>tenuta del sistema previdenziale</w:t>
      </w:r>
      <w:r w:rsidRPr="006A58A0">
        <w:rPr>
          <w:rFonts w:ascii="Arial" w:eastAsia="Times New Roman" w:hAnsi="Arial" w:cs="Arial"/>
          <w:color w:val="000000"/>
        </w:rPr>
        <w:t xml:space="preserve">” afferma il Consiglio nazionale. “Si tratta infatti di un intervento pensato unicamente </w:t>
      </w:r>
      <w:r w:rsidRPr="006A58A0">
        <w:rPr>
          <w:rFonts w:ascii="Arial" w:eastAsia="Times New Roman" w:hAnsi="Arial" w:cs="Arial"/>
          <w:b/>
          <w:bCs/>
          <w:color w:val="000000"/>
        </w:rPr>
        <w:t>per ridurre i tempi di accesso</w:t>
      </w:r>
      <w:r w:rsidRPr="006A58A0">
        <w:rPr>
          <w:rFonts w:ascii="Arial" w:eastAsia="Times New Roman" w:hAnsi="Arial" w:cs="Arial"/>
          <w:color w:val="000000"/>
        </w:rPr>
        <w:t xml:space="preserve"> alla professione, in linea con gli obiettivi europei di </w:t>
      </w:r>
      <w:r w:rsidRPr="006A58A0">
        <w:rPr>
          <w:rFonts w:ascii="Arial" w:eastAsia="Times New Roman" w:hAnsi="Arial" w:cs="Arial"/>
          <w:b/>
          <w:bCs/>
          <w:color w:val="000000"/>
        </w:rPr>
        <w:t xml:space="preserve">favorire l’occupazione giovanile </w:t>
      </w:r>
      <w:r w:rsidRPr="006A58A0">
        <w:rPr>
          <w:rFonts w:ascii="Arial" w:eastAsia="Times New Roman" w:hAnsi="Arial" w:cs="Arial"/>
          <w:color w:val="000000"/>
        </w:rPr>
        <w:t xml:space="preserve">e per incentivare le nuove generazioni a intraprendere il percorso professionale, oggi caratterizzato da </w:t>
      </w:r>
      <w:r w:rsidRPr="006A58A0">
        <w:rPr>
          <w:rFonts w:ascii="Arial" w:eastAsia="Times New Roman" w:hAnsi="Arial" w:cs="Arial"/>
          <w:b/>
          <w:bCs/>
          <w:color w:val="000000"/>
        </w:rPr>
        <w:t>barriere temporali ed economiche</w:t>
      </w:r>
      <w:r w:rsidRPr="006A58A0">
        <w:rPr>
          <w:rFonts w:ascii="Arial" w:eastAsia="Times New Roman" w:hAnsi="Arial" w:cs="Arial"/>
          <w:color w:val="000000"/>
        </w:rPr>
        <w:t> che ne riducono l’attrattività”.</w:t>
      </w:r>
    </w:p>
    <w:p w14:paraId="3979DDED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13439D93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 xml:space="preserve">“Anche l’accusa di </w:t>
      </w:r>
      <w:r w:rsidRPr="006A58A0">
        <w:rPr>
          <w:rFonts w:ascii="Arial" w:eastAsia="Times New Roman" w:hAnsi="Arial" w:cs="Arial"/>
          <w:b/>
          <w:bCs/>
          <w:color w:val="000000"/>
        </w:rPr>
        <w:t>penalizzazione degli iscritti alla sezione B</w:t>
      </w:r>
      <w:r w:rsidRPr="006A58A0">
        <w:rPr>
          <w:rFonts w:ascii="Arial" w:eastAsia="Times New Roman" w:hAnsi="Arial" w:cs="Arial"/>
          <w:color w:val="000000"/>
        </w:rPr>
        <w:t xml:space="preserve">”, sottolineano i commercialisti “è del tutto priva di fondamento”. “Gli studenti che intendono iscriversi alla sezione B non possono svolgere l’intero tirocinio contestualmente agli studi per una </w:t>
      </w:r>
      <w:r w:rsidRPr="006A58A0">
        <w:rPr>
          <w:rFonts w:ascii="Arial" w:eastAsia="Times New Roman" w:hAnsi="Arial" w:cs="Arial"/>
          <w:b/>
          <w:bCs/>
          <w:color w:val="000000"/>
        </w:rPr>
        <w:t>ragione tecnica evidente</w:t>
      </w:r>
      <w:r w:rsidRPr="006A58A0">
        <w:rPr>
          <w:rFonts w:ascii="Arial" w:eastAsia="Times New Roman" w:hAnsi="Arial" w:cs="Arial"/>
          <w:color w:val="000000"/>
        </w:rPr>
        <w:t xml:space="preserve">: al momento dell’avvio non hanno ancora conseguito la laurea triennale, </w:t>
      </w:r>
      <w:r w:rsidRPr="006A58A0">
        <w:rPr>
          <w:rFonts w:ascii="Arial" w:eastAsia="Times New Roman" w:hAnsi="Arial" w:cs="Arial"/>
          <w:b/>
          <w:bCs/>
          <w:color w:val="000000"/>
        </w:rPr>
        <w:t>requisito minimo</w:t>
      </w:r>
      <w:r w:rsidRPr="006A58A0">
        <w:rPr>
          <w:rFonts w:ascii="Arial" w:eastAsia="Times New Roman" w:hAnsi="Arial" w:cs="Arial"/>
          <w:color w:val="000000"/>
        </w:rPr>
        <w:t xml:space="preserve"> per l’iscrizione. Ogni norma che non tenga conto di questo dato di fatto incorrerebbe nel </w:t>
      </w:r>
      <w:r w:rsidRPr="006A58A0">
        <w:rPr>
          <w:rFonts w:ascii="Arial" w:eastAsia="Times New Roman" w:hAnsi="Arial" w:cs="Arial"/>
          <w:b/>
          <w:bCs/>
          <w:color w:val="000000"/>
        </w:rPr>
        <w:t>rischio di incostituzionalità</w:t>
      </w:r>
      <w:r w:rsidRPr="006A58A0">
        <w:rPr>
          <w:rFonts w:ascii="Arial" w:eastAsia="Times New Roman" w:hAnsi="Arial" w:cs="Arial"/>
          <w:color w:val="000000"/>
        </w:rPr>
        <w:t xml:space="preserve">”. Dal Consiglio nazionale precisano che “resta comunque </w:t>
      </w:r>
      <w:r w:rsidRPr="006A58A0">
        <w:rPr>
          <w:rFonts w:ascii="Arial" w:eastAsia="Times New Roman" w:hAnsi="Arial" w:cs="Arial"/>
          <w:b/>
          <w:bCs/>
          <w:color w:val="000000"/>
        </w:rPr>
        <w:t xml:space="preserve">garantita </w:t>
      </w:r>
      <w:r w:rsidRPr="006A58A0">
        <w:rPr>
          <w:rFonts w:ascii="Arial" w:eastAsia="Times New Roman" w:hAnsi="Arial" w:cs="Arial"/>
          <w:color w:val="000000"/>
        </w:rPr>
        <w:t xml:space="preserve">per gli esperti contabili la possibilità di usufruire dei </w:t>
      </w:r>
      <w:r w:rsidRPr="006A58A0">
        <w:rPr>
          <w:rFonts w:ascii="Arial" w:eastAsia="Times New Roman" w:hAnsi="Arial" w:cs="Arial"/>
          <w:b/>
          <w:bCs/>
          <w:color w:val="000000"/>
        </w:rPr>
        <w:t>sei mesi di tirocinio anticipato</w:t>
      </w:r>
      <w:r w:rsidRPr="006A58A0">
        <w:rPr>
          <w:rFonts w:ascii="Arial" w:eastAsia="Times New Roman" w:hAnsi="Arial" w:cs="Arial"/>
          <w:color w:val="000000"/>
        </w:rPr>
        <w:t> durante l’ultimo anno del percorso di studi, come stabilito dal DPR 137/2012. Ne consegue che non esiste alcuna disparità normativa, bensì un diverso momento di attivazione del tirocinio legato al titolo accademico posseduto”.</w:t>
      </w:r>
    </w:p>
    <w:p w14:paraId="2400C707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4CE01AFA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 xml:space="preserve">“Del tutto infondato” per i vertici della categoria, anche “il timore che la misura possa </w:t>
      </w:r>
      <w:r w:rsidRPr="006A58A0">
        <w:rPr>
          <w:rFonts w:ascii="Arial" w:eastAsia="Times New Roman" w:hAnsi="Arial" w:cs="Arial"/>
          <w:b/>
          <w:bCs/>
          <w:color w:val="000000"/>
        </w:rPr>
        <w:t>generare un “default” della Cassa</w:t>
      </w:r>
      <w:r w:rsidRPr="006A58A0">
        <w:rPr>
          <w:rFonts w:ascii="Arial" w:eastAsia="Times New Roman" w:hAnsi="Arial" w:cs="Arial"/>
          <w:color w:val="000000"/>
        </w:rPr>
        <w:t xml:space="preserve">”. “L’anticipo del tirocinio non incide in alcun modo sui flussi contributivi, che decorrono esclusivamente dall’iscrizione effettiva all’albo e dall’avvio dell’attività professionale. La base demografica degli iscritti alla sezione B </w:t>
      </w:r>
      <w:r w:rsidRPr="006A58A0">
        <w:rPr>
          <w:rFonts w:ascii="Arial" w:eastAsia="Times New Roman" w:hAnsi="Arial" w:cs="Arial"/>
          <w:b/>
          <w:bCs/>
          <w:color w:val="000000"/>
        </w:rPr>
        <w:t>non viene ridotta dalla riforma</w:t>
      </w:r>
      <w:r w:rsidRPr="006A58A0">
        <w:rPr>
          <w:rFonts w:ascii="Arial" w:eastAsia="Times New Roman" w:hAnsi="Arial" w:cs="Arial"/>
          <w:color w:val="000000"/>
        </w:rPr>
        <w:t xml:space="preserve">, poiché i percorsi universitari e i relativi sbocchi professionali rimangono </w:t>
      </w:r>
      <w:r w:rsidRPr="006A58A0">
        <w:rPr>
          <w:rFonts w:ascii="Arial" w:eastAsia="Times New Roman" w:hAnsi="Arial" w:cs="Arial"/>
          <w:b/>
          <w:bCs/>
          <w:color w:val="000000"/>
        </w:rPr>
        <w:t>invariati</w:t>
      </w:r>
      <w:r w:rsidRPr="006A58A0">
        <w:rPr>
          <w:rFonts w:ascii="Arial" w:eastAsia="Times New Roman" w:hAnsi="Arial" w:cs="Arial"/>
          <w:color w:val="000000"/>
        </w:rPr>
        <w:t xml:space="preserve">, </w:t>
      </w:r>
      <w:r w:rsidRPr="006A58A0">
        <w:rPr>
          <w:rFonts w:ascii="Arial" w:eastAsia="Times New Roman" w:hAnsi="Arial" w:cs="Arial"/>
          <w:b/>
          <w:bCs/>
          <w:color w:val="000000"/>
        </w:rPr>
        <w:t>autonomi e alternativi</w:t>
      </w:r>
      <w:r w:rsidRPr="006A58A0">
        <w:rPr>
          <w:rFonts w:ascii="Arial" w:eastAsia="Times New Roman" w:hAnsi="Arial" w:cs="Arial"/>
          <w:color w:val="000000"/>
        </w:rPr>
        <w:t>. Attribuire a un intervento ordinamentale finalizzato all’accelerazione dell’accesso alla sezione A responsabilità previdenziali è dunque un errore logico e tecnico”.</w:t>
      </w:r>
    </w:p>
    <w:p w14:paraId="4C77D4F1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2C30FF83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 xml:space="preserve">“Il vero obiettivo della riforma era e resta quello di rendere la professione più </w:t>
      </w:r>
      <w:r w:rsidRPr="006A58A0">
        <w:rPr>
          <w:rFonts w:ascii="Arial" w:eastAsia="Times New Roman" w:hAnsi="Arial" w:cs="Arial"/>
          <w:b/>
          <w:bCs/>
          <w:color w:val="000000"/>
        </w:rPr>
        <w:t>competitiva</w:t>
      </w:r>
      <w:r w:rsidRPr="006A58A0">
        <w:rPr>
          <w:rFonts w:ascii="Arial" w:eastAsia="Times New Roman" w:hAnsi="Arial" w:cs="Arial"/>
          <w:color w:val="000000"/>
        </w:rPr>
        <w:t xml:space="preserve">, </w:t>
      </w:r>
      <w:r w:rsidRPr="006A58A0">
        <w:rPr>
          <w:rFonts w:ascii="Arial" w:eastAsia="Times New Roman" w:hAnsi="Arial" w:cs="Arial"/>
          <w:b/>
          <w:bCs/>
          <w:color w:val="000000"/>
        </w:rPr>
        <w:t>attrattiva e moderna</w:t>
      </w:r>
      <w:r w:rsidRPr="006A58A0">
        <w:rPr>
          <w:rFonts w:ascii="Arial" w:eastAsia="Times New Roman" w:hAnsi="Arial" w:cs="Arial"/>
          <w:color w:val="000000"/>
        </w:rPr>
        <w:t xml:space="preserve">, senza alcuna conseguenza negativa sugli </w:t>
      </w:r>
      <w:r w:rsidRPr="006A58A0">
        <w:rPr>
          <w:rFonts w:ascii="Arial" w:eastAsia="Times New Roman" w:hAnsi="Arial" w:cs="Arial"/>
          <w:b/>
          <w:bCs/>
          <w:color w:val="000000"/>
        </w:rPr>
        <w:t>equilibri previdenziali</w:t>
      </w:r>
      <w:r w:rsidRPr="006A58A0">
        <w:rPr>
          <w:rFonts w:ascii="Arial" w:eastAsia="Times New Roman" w:hAnsi="Arial" w:cs="Arial"/>
          <w:color w:val="000000"/>
        </w:rPr>
        <w:t xml:space="preserve">. Le affermazioni della Cassa Ragionieri, oltre a non trovare riscontro giuridico o attuariale, finiscono per ostacolare un intervento necessario a rafforzare la categoria, soprattutto nel ricambio generazionale. Spiace constatare, tuttavia, che tali prese di posizione lasciano trasparire le </w:t>
      </w:r>
      <w:r w:rsidRPr="006A58A0">
        <w:rPr>
          <w:rFonts w:ascii="Arial" w:eastAsia="Times New Roman" w:hAnsi="Arial" w:cs="Arial"/>
          <w:b/>
          <w:bCs/>
          <w:color w:val="000000"/>
        </w:rPr>
        <w:t>difficoltà di tenuta</w:t>
      </w:r>
      <w:r w:rsidRPr="006A58A0">
        <w:rPr>
          <w:rFonts w:ascii="Arial" w:eastAsia="Times New Roman" w:hAnsi="Arial" w:cs="Arial"/>
          <w:color w:val="000000"/>
        </w:rPr>
        <w:t xml:space="preserve"> dell’istituto previdenziale stesso: difficoltà che potrebbero concretizzarsi nel rischio di </w:t>
      </w:r>
      <w:r w:rsidRPr="006A58A0">
        <w:rPr>
          <w:rFonts w:ascii="Arial" w:eastAsia="Times New Roman" w:hAnsi="Arial" w:cs="Arial"/>
          <w:b/>
          <w:bCs/>
          <w:color w:val="000000"/>
        </w:rPr>
        <w:t>non poter garantire</w:t>
      </w:r>
      <w:r w:rsidRPr="006A58A0">
        <w:rPr>
          <w:rFonts w:ascii="Arial" w:eastAsia="Times New Roman" w:hAnsi="Arial" w:cs="Arial"/>
          <w:color w:val="000000"/>
        </w:rPr>
        <w:t xml:space="preserve"> nel lungo periodo la </w:t>
      </w:r>
      <w:r w:rsidRPr="006A58A0">
        <w:rPr>
          <w:rFonts w:ascii="Arial" w:eastAsia="Times New Roman" w:hAnsi="Arial" w:cs="Arial"/>
          <w:b/>
          <w:bCs/>
          <w:color w:val="000000"/>
        </w:rPr>
        <w:t>piena sostenibilità</w:t>
      </w:r>
      <w:r w:rsidRPr="006A58A0">
        <w:rPr>
          <w:rFonts w:ascii="Arial" w:eastAsia="Times New Roman" w:hAnsi="Arial" w:cs="Arial"/>
          <w:color w:val="000000"/>
        </w:rPr>
        <w:t> delle prestazioni e dei diritti maturati dai colleghi i</w:t>
      </w:r>
      <w:r w:rsidRPr="006A58A0">
        <w:rPr>
          <w:rFonts w:ascii="Arial" w:eastAsia="Times New Roman" w:hAnsi="Arial" w:cs="Arial"/>
          <w:b/>
          <w:bCs/>
          <w:color w:val="000000"/>
        </w:rPr>
        <w:t>ndipendentemente</w:t>
      </w:r>
      <w:r w:rsidRPr="006A58A0">
        <w:rPr>
          <w:rFonts w:ascii="Arial" w:eastAsia="Times New Roman" w:hAnsi="Arial" w:cs="Arial"/>
          <w:color w:val="000000"/>
        </w:rPr>
        <w:t xml:space="preserve"> dal processo di riforma in corso”.</w:t>
      </w:r>
    </w:p>
    <w:p w14:paraId="6EC715E2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669F8260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 xml:space="preserve">“Di fronte a osservazioni tanto pretestuose quanto infondate – prosegue la nota – non possiamo che </w:t>
      </w:r>
      <w:r w:rsidRPr="006A58A0">
        <w:rPr>
          <w:rFonts w:ascii="Arial" w:eastAsia="Times New Roman" w:hAnsi="Arial" w:cs="Arial"/>
          <w:b/>
          <w:bCs/>
          <w:color w:val="000000"/>
        </w:rPr>
        <w:t>respingerle con decisione</w:t>
      </w:r>
      <w:r w:rsidRPr="006A58A0">
        <w:rPr>
          <w:rFonts w:ascii="Arial" w:eastAsia="Times New Roman" w:hAnsi="Arial" w:cs="Arial"/>
          <w:color w:val="000000"/>
        </w:rPr>
        <w:t xml:space="preserve">, limitandoci al piano tecnico. È infatti evidente che l’unico scopo di tali </w:t>
      </w:r>
      <w:r w:rsidRPr="006A58A0">
        <w:rPr>
          <w:rFonts w:ascii="Arial" w:eastAsia="Times New Roman" w:hAnsi="Arial" w:cs="Arial"/>
          <w:b/>
          <w:bCs/>
          <w:color w:val="000000"/>
        </w:rPr>
        <w:t>strumentalizzazioni politiche</w:t>
      </w:r>
      <w:r w:rsidRPr="006A58A0">
        <w:rPr>
          <w:rFonts w:ascii="Arial" w:eastAsia="Times New Roman" w:hAnsi="Arial" w:cs="Arial"/>
          <w:color w:val="000000"/>
        </w:rPr>
        <w:t xml:space="preserve"> sia quello di generare </w:t>
      </w:r>
      <w:r w:rsidRPr="006A58A0">
        <w:rPr>
          <w:rFonts w:ascii="Arial" w:eastAsia="Times New Roman" w:hAnsi="Arial" w:cs="Arial"/>
          <w:b/>
          <w:bCs/>
          <w:color w:val="000000"/>
        </w:rPr>
        <w:t>confusione</w:t>
      </w:r>
      <w:r w:rsidRPr="006A58A0">
        <w:rPr>
          <w:rFonts w:ascii="Arial" w:eastAsia="Times New Roman" w:hAnsi="Arial" w:cs="Arial"/>
          <w:color w:val="000000"/>
        </w:rPr>
        <w:t xml:space="preserve">, alimentare la </w:t>
      </w:r>
      <w:r w:rsidRPr="006A58A0">
        <w:rPr>
          <w:rFonts w:ascii="Arial" w:eastAsia="Times New Roman" w:hAnsi="Arial" w:cs="Arial"/>
          <w:b/>
          <w:bCs/>
          <w:color w:val="000000"/>
        </w:rPr>
        <w:t>polemica</w:t>
      </w:r>
      <w:r w:rsidRPr="006A58A0">
        <w:rPr>
          <w:rFonts w:ascii="Arial" w:eastAsia="Times New Roman" w:hAnsi="Arial" w:cs="Arial"/>
          <w:color w:val="000000"/>
        </w:rPr>
        <w:t xml:space="preserve"> e tentare </w:t>
      </w:r>
      <w:r w:rsidRPr="006A58A0">
        <w:rPr>
          <w:rFonts w:ascii="Arial" w:eastAsia="Times New Roman" w:hAnsi="Arial" w:cs="Arial"/>
          <w:color w:val="000000"/>
        </w:rPr>
        <w:lastRenderedPageBreak/>
        <w:t xml:space="preserve">di </w:t>
      </w:r>
      <w:r w:rsidRPr="006A58A0">
        <w:rPr>
          <w:rFonts w:ascii="Arial" w:eastAsia="Times New Roman" w:hAnsi="Arial" w:cs="Arial"/>
          <w:b/>
          <w:bCs/>
          <w:color w:val="000000"/>
        </w:rPr>
        <w:t>far naufragare</w:t>
      </w:r>
      <w:r w:rsidRPr="006A58A0">
        <w:rPr>
          <w:rFonts w:ascii="Arial" w:eastAsia="Times New Roman" w:hAnsi="Arial" w:cs="Arial"/>
          <w:color w:val="000000"/>
        </w:rPr>
        <w:t xml:space="preserve"> la riforma, a discapito dei 120.000 colleghi che da essa trarranno beneficio. Si ricorda, peraltro – ed è </w:t>
      </w:r>
      <w:r w:rsidRPr="006A58A0">
        <w:rPr>
          <w:rFonts w:ascii="Arial" w:eastAsia="Times New Roman" w:hAnsi="Arial" w:cs="Arial"/>
          <w:b/>
          <w:bCs/>
          <w:color w:val="000000"/>
        </w:rPr>
        <w:t>sorprendente</w:t>
      </w:r>
      <w:r w:rsidRPr="006A58A0">
        <w:rPr>
          <w:rFonts w:ascii="Arial" w:eastAsia="Times New Roman" w:hAnsi="Arial" w:cs="Arial"/>
          <w:color w:val="000000"/>
        </w:rPr>
        <w:t xml:space="preserve"> doverlo ribadire – che si tratta di una legge delega: il testo definitivo, con le eventuali integrazioni e correzioni, sarà come ovvio discusso e valutato in Parlamento, nella sede propria del </w:t>
      </w:r>
      <w:r w:rsidRPr="006A58A0">
        <w:rPr>
          <w:rFonts w:ascii="Arial" w:eastAsia="Times New Roman" w:hAnsi="Arial" w:cs="Arial"/>
          <w:b/>
          <w:bCs/>
          <w:color w:val="000000"/>
        </w:rPr>
        <w:t>confronto democratico</w:t>
      </w:r>
      <w:r w:rsidRPr="006A58A0">
        <w:rPr>
          <w:rFonts w:ascii="Arial" w:eastAsia="Times New Roman" w:hAnsi="Arial" w:cs="Arial"/>
          <w:color w:val="000000"/>
        </w:rPr>
        <w:t>".</w:t>
      </w:r>
    </w:p>
    <w:p w14:paraId="10597FB5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54850CA2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 xml:space="preserve">“Di fronte a questo tentativo di generare confusione e di fronte ad una tale opera di </w:t>
      </w:r>
      <w:r w:rsidRPr="006A58A0">
        <w:rPr>
          <w:rFonts w:ascii="Arial" w:eastAsia="Times New Roman" w:hAnsi="Arial" w:cs="Arial"/>
          <w:b/>
          <w:bCs/>
          <w:color w:val="000000"/>
        </w:rPr>
        <w:t>disinformazione</w:t>
      </w:r>
      <w:r w:rsidRPr="006A58A0">
        <w:rPr>
          <w:rFonts w:ascii="Arial" w:eastAsia="Times New Roman" w:hAnsi="Arial" w:cs="Arial"/>
          <w:color w:val="000000"/>
        </w:rPr>
        <w:t xml:space="preserve">, ringraziamo con forza il presidente del Consiglio </w:t>
      </w:r>
      <w:r w:rsidRPr="006A58A0">
        <w:rPr>
          <w:rFonts w:ascii="Arial" w:eastAsia="Times New Roman" w:hAnsi="Arial" w:cs="Arial"/>
          <w:b/>
          <w:bCs/>
          <w:color w:val="000000"/>
        </w:rPr>
        <w:t>Giorgia Meloni</w:t>
      </w:r>
      <w:r w:rsidRPr="006A58A0">
        <w:rPr>
          <w:rFonts w:ascii="Arial" w:eastAsia="Times New Roman" w:hAnsi="Arial" w:cs="Arial"/>
          <w:color w:val="000000"/>
        </w:rPr>
        <w:t xml:space="preserve"> e il Ministro della giustizia </w:t>
      </w:r>
      <w:r w:rsidRPr="006A58A0">
        <w:rPr>
          <w:rFonts w:ascii="Arial" w:eastAsia="Times New Roman" w:hAnsi="Arial" w:cs="Arial"/>
          <w:b/>
          <w:bCs/>
          <w:color w:val="000000"/>
        </w:rPr>
        <w:t>Nordio</w:t>
      </w:r>
      <w:r w:rsidRPr="006A58A0">
        <w:rPr>
          <w:rFonts w:ascii="Arial" w:eastAsia="Times New Roman" w:hAnsi="Arial" w:cs="Arial"/>
          <w:color w:val="000000"/>
        </w:rPr>
        <w:t xml:space="preserve">, il quale ha oggi </w:t>
      </w:r>
      <w:r w:rsidRPr="006A58A0">
        <w:rPr>
          <w:rFonts w:ascii="Arial" w:eastAsia="Times New Roman" w:hAnsi="Arial" w:cs="Arial"/>
          <w:b/>
          <w:bCs/>
          <w:color w:val="000000"/>
        </w:rPr>
        <w:t>ribadito con chiarezza</w:t>
      </w:r>
      <w:r w:rsidRPr="006A58A0">
        <w:rPr>
          <w:rFonts w:ascii="Arial" w:eastAsia="Times New Roman" w:hAnsi="Arial" w:cs="Arial"/>
          <w:color w:val="000000"/>
        </w:rPr>
        <w:t xml:space="preserve"> la volontà del governo di </w:t>
      </w:r>
      <w:r w:rsidRPr="006A58A0">
        <w:rPr>
          <w:rFonts w:ascii="Arial" w:eastAsia="Times New Roman" w:hAnsi="Arial" w:cs="Arial"/>
          <w:b/>
          <w:bCs/>
          <w:color w:val="000000"/>
        </w:rPr>
        <w:t>approvare</w:t>
      </w:r>
      <w:r w:rsidRPr="006A58A0">
        <w:rPr>
          <w:rFonts w:ascii="Arial" w:eastAsia="Times New Roman" w:hAnsi="Arial" w:cs="Arial"/>
          <w:color w:val="000000"/>
        </w:rPr>
        <w:t xml:space="preserve"> questa tanto attesa riforma. Così come ringraziamo la </w:t>
      </w:r>
      <w:r w:rsidRPr="006A58A0">
        <w:rPr>
          <w:rFonts w:ascii="Arial" w:eastAsia="Times New Roman" w:hAnsi="Arial" w:cs="Arial"/>
          <w:b/>
          <w:bCs/>
          <w:color w:val="000000"/>
        </w:rPr>
        <w:t>maggioranza</w:t>
      </w:r>
      <w:r w:rsidRPr="006A58A0">
        <w:rPr>
          <w:rFonts w:ascii="Arial" w:eastAsia="Times New Roman" w:hAnsi="Arial" w:cs="Arial"/>
          <w:color w:val="000000"/>
        </w:rPr>
        <w:t xml:space="preserve"> </w:t>
      </w:r>
      <w:r w:rsidRPr="006A58A0">
        <w:rPr>
          <w:rFonts w:ascii="Arial" w:eastAsia="Times New Roman" w:hAnsi="Arial" w:cs="Arial"/>
          <w:b/>
          <w:bCs/>
          <w:color w:val="000000"/>
        </w:rPr>
        <w:t>assoluta</w:t>
      </w:r>
      <w:r w:rsidRPr="006A58A0">
        <w:rPr>
          <w:rFonts w:ascii="Arial" w:eastAsia="Times New Roman" w:hAnsi="Arial" w:cs="Arial"/>
          <w:color w:val="000000"/>
        </w:rPr>
        <w:t xml:space="preserve"> delle associazioni di categoria </w:t>
      </w:r>
      <w:r w:rsidRPr="006A58A0">
        <w:rPr>
          <w:rFonts w:ascii="Arial" w:eastAsia="Times New Roman" w:hAnsi="Arial" w:cs="Arial"/>
          <w:b/>
          <w:bCs/>
          <w:color w:val="000000"/>
        </w:rPr>
        <w:t>più rappresentative</w:t>
      </w:r>
      <w:r w:rsidRPr="006A58A0">
        <w:rPr>
          <w:rFonts w:ascii="Arial" w:eastAsia="Times New Roman" w:hAnsi="Arial" w:cs="Arial"/>
          <w:color w:val="000000"/>
        </w:rPr>
        <w:t xml:space="preserve"> che hanno voluto oggi </w:t>
      </w:r>
      <w:r w:rsidRPr="006A58A0">
        <w:rPr>
          <w:rFonts w:ascii="Arial" w:eastAsia="Times New Roman" w:hAnsi="Arial" w:cs="Arial"/>
          <w:b/>
          <w:bCs/>
          <w:color w:val="000000"/>
        </w:rPr>
        <w:t>esprimere pubblicamente</w:t>
      </w:r>
      <w:r w:rsidRPr="006A58A0">
        <w:rPr>
          <w:rFonts w:ascii="Arial" w:eastAsia="Times New Roman" w:hAnsi="Arial" w:cs="Arial"/>
          <w:color w:val="000000"/>
        </w:rPr>
        <w:t> il loro sostegno ad una riforma giudicata necessaria per tutta la nostra comunità professionale”.</w:t>
      </w:r>
    </w:p>
    <w:p w14:paraId="0F428071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05461D83" w14:textId="77777777" w:rsidR="006A58A0" w:rsidRPr="006A58A0" w:rsidRDefault="006A58A0" w:rsidP="006A58A0">
      <w:pPr>
        <w:jc w:val="both"/>
        <w:rPr>
          <w:rFonts w:ascii="Arial" w:eastAsia="Times New Roman" w:hAnsi="Arial" w:cs="Arial"/>
          <w:color w:val="000000"/>
        </w:rPr>
      </w:pPr>
      <w:r w:rsidRPr="006A58A0">
        <w:rPr>
          <w:rFonts w:ascii="Arial" w:eastAsia="Times New Roman" w:hAnsi="Arial" w:cs="Arial"/>
          <w:color w:val="000000"/>
        </w:rPr>
        <w:t> </w:t>
      </w:r>
    </w:p>
    <w:p w14:paraId="08AB9791" w14:textId="77777777" w:rsidR="001F1D77" w:rsidRPr="006A58A0" w:rsidRDefault="001F1D77" w:rsidP="006A58A0">
      <w:pPr>
        <w:jc w:val="center"/>
        <w:rPr>
          <w:rFonts w:ascii="Arial" w:hAnsi="Arial" w:cs="Arial"/>
          <w:sz w:val="24"/>
          <w:szCs w:val="24"/>
        </w:rPr>
      </w:pPr>
    </w:p>
    <w:sectPr w:rsidR="001F1D77" w:rsidRPr="006A58A0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157F" w14:textId="77777777" w:rsidR="003E6A85" w:rsidRDefault="003E6A85">
      <w:r>
        <w:separator/>
      </w:r>
    </w:p>
  </w:endnote>
  <w:endnote w:type="continuationSeparator" w:id="0">
    <w:p w14:paraId="26F70B7A" w14:textId="77777777" w:rsidR="003E6A85" w:rsidRDefault="003E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0E70" w14:textId="77777777" w:rsidR="003E6A85" w:rsidRDefault="003E6A85">
      <w:r>
        <w:separator/>
      </w:r>
    </w:p>
  </w:footnote>
  <w:footnote w:type="continuationSeparator" w:id="0">
    <w:p w14:paraId="3F0C347E" w14:textId="77777777" w:rsidR="003E6A85" w:rsidRDefault="003E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864E" w14:textId="77777777" w:rsidR="00567F27" w:rsidRDefault="005129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19B85A52" wp14:editId="506DB03E">
          <wp:extent cx="2928130" cy="994609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30" cy="994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62910"/>
    <w:multiLevelType w:val="hybridMultilevel"/>
    <w:tmpl w:val="5D9CB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D0E13"/>
    <w:multiLevelType w:val="hybridMultilevel"/>
    <w:tmpl w:val="DBA86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D0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15329">
    <w:abstractNumId w:val="1"/>
  </w:num>
  <w:num w:numId="2" w16cid:durableId="2036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7"/>
    <w:rsid w:val="000144D9"/>
    <w:rsid w:val="000E259F"/>
    <w:rsid w:val="001D5F5B"/>
    <w:rsid w:val="001F1D77"/>
    <w:rsid w:val="00336EEE"/>
    <w:rsid w:val="003A6272"/>
    <w:rsid w:val="003E4289"/>
    <w:rsid w:val="003E6A85"/>
    <w:rsid w:val="004B3B7E"/>
    <w:rsid w:val="004F16C6"/>
    <w:rsid w:val="0051293E"/>
    <w:rsid w:val="00521071"/>
    <w:rsid w:val="00567F27"/>
    <w:rsid w:val="005A311E"/>
    <w:rsid w:val="005F6FE0"/>
    <w:rsid w:val="00692570"/>
    <w:rsid w:val="006A58A0"/>
    <w:rsid w:val="006D19F5"/>
    <w:rsid w:val="00774B2E"/>
    <w:rsid w:val="007D31BE"/>
    <w:rsid w:val="00885785"/>
    <w:rsid w:val="009020CA"/>
    <w:rsid w:val="00A641BB"/>
    <w:rsid w:val="00AD16D7"/>
    <w:rsid w:val="00AE42E6"/>
    <w:rsid w:val="00AF5365"/>
    <w:rsid w:val="00B67593"/>
    <w:rsid w:val="00BE3F94"/>
    <w:rsid w:val="00C21C0F"/>
    <w:rsid w:val="00C6642F"/>
    <w:rsid w:val="00CE4810"/>
    <w:rsid w:val="00D26AD8"/>
    <w:rsid w:val="00D80701"/>
    <w:rsid w:val="00DB6B58"/>
    <w:rsid w:val="00E3363D"/>
    <w:rsid w:val="00E43A69"/>
    <w:rsid w:val="00F25031"/>
    <w:rsid w:val="00F2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3624"/>
  <w15:docId w15:val="{CCC899D1-6636-4238-91DE-B23ABEBB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E48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810"/>
    <w:rPr>
      <w:color w:val="605E5C"/>
      <w:shd w:val="clear" w:color="auto" w:fill="E1DFDD"/>
    </w:rPr>
  </w:style>
  <w:style w:type="paragraph" w:customStyle="1" w:styleId="atext">
    <w:name w:val="atext"/>
    <w:basedOn w:val="Normale"/>
    <w:rsid w:val="0088578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5785"/>
    <w:pPr>
      <w:spacing w:before="120"/>
      <w:jc w:val="both"/>
    </w:pPr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85785"/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578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8578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885785"/>
    <w:rPr>
      <w:b/>
      <w:bCs/>
    </w:rPr>
  </w:style>
  <w:style w:type="character" w:styleId="Enfasicorsivo">
    <w:name w:val="Emphasis"/>
    <w:basedOn w:val="Carpredefinitoparagrafo"/>
    <w:uiPriority w:val="20"/>
    <w:qFormat/>
    <w:rsid w:val="00885785"/>
    <w:rPr>
      <w:i/>
      <w:iCs/>
    </w:rPr>
  </w:style>
  <w:style w:type="paragraph" w:customStyle="1" w:styleId="Default">
    <w:name w:val="Default"/>
    <w:rsid w:val="0088578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val="en-GB" w:eastAsia="en-US"/>
      <w14:ligatures w14:val="standardContextual"/>
    </w:rPr>
  </w:style>
  <w:style w:type="paragraph" w:styleId="Paragrafoelenco">
    <w:name w:val="List Paragraph"/>
    <w:basedOn w:val="Normale"/>
    <w:uiPriority w:val="1"/>
    <w:qFormat/>
    <w:rsid w:val="00885785"/>
    <w:pPr>
      <w:spacing w:before="120" w:after="120" w:line="300" w:lineRule="auto"/>
      <w:ind w:left="720"/>
      <w:contextualSpacing/>
      <w:jc w:val="both"/>
    </w:pPr>
    <w:rPr>
      <w:rFonts w:asciiTheme="minorHAnsi" w:eastAsiaTheme="minorHAnsi" w:hAnsiTheme="minorHAnsi" w:cstheme="minorBidi"/>
      <w:color w:val="262626" w:themeColor="text1" w:themeTint="D9"/>
      <w:kern w:val="2"/>
      <w:lang w:val="it-IT" w:eastAsia="en-US"/>
      <w14:ligatures w14:val="standardContextual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5785"/>
    <w:pPr>
      <w:spacing w:before="120" w:after="120"/>
      <w:jc w:val="both"/>
    </w:pPr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5785"/>
    <w:rPr>
      <w:rFonts w:asciiTheme="minorHAnsi" w:eastAsiaTheme="minorHAnsi" w:hAnsiTheme="minorHAnsi" w:cstheme="minorBidi"/>
      <w:color w:val="262626" w:themeColor="text1" w:themeTint="D9"/>
      <w:kern w:val="2"/>
      <w:sz w:val="20"/>
      <w:szCs w:val="20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0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7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5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7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Parracino Mauro</dc:creator>
  <cp:lastModifiedBy>Mastrogiacomo Tiziana</cp:lastModifiedBy>
  <cp:revision>8</cp:revision>
  <dcterms:created xsi:type="dcterms:W3CDTF">2025-07-14T10:00:00Z</dcterms:created>
  <dcterms:modified xsi:type="dcterms:W3CDTF">2025-09-08T06:51:00Z</dcterms:modified>
</cp:coreProperties>
</file>