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4F4C" w14:textId="77777777" w:rsidR="00EC44DB" w:rsidRPr="0040222A" w:rsidRDefault="00EC44DB" w:rsidP="005A240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2601CF14" w14:textId="77777777" w:rsidR="00C25C8F" w:rsidRPr="00C25C8F" w:rsidRDefault="00C25C8F" w:rsidP="00C25C8F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C25C8F">
        <w:rPr>
          <w:rFonts w:ascii="Arial" w:hAnsi="Arial" w:cs="Arial"/>
          <w:b/>
          <w:bCs/>
          <w:u w:val="single"/>
        </w:rPr>
        <w:t>COMUNICATO STAMPA</w:t>
      </w:r>
    </w:p>
    <w:p w14:paraId="2E720B35" w14:textId="77777777" w:rsidR="00C25C8F" w:rsidRPr="00C25C8F" w:rsidRDefault="00C25C8F" w:rsidP="00C25C8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824BB08" w14:textId="77777777" w:rsidR="00C25C8F" w:rsidRDefault="00C25C8F" w:rsidP="00C25C8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25C8F">
        <w:rPr>
          <w:rFonts w:ascii="Arial" w:hAnsi="Arial" w:cs="Arial"/>
          <w:b/>
          <w:bCs/>
        </w:rPr>
        <w:t>LEGALIZZAZIONE AZIENDE SOTTOPOSTE A MISURA ABLATIVA O NON ABLATIVA, LINEE GUIDA DEI COMMERCIALISTI</w:t>
      </w:r>
    </w:p>
    <w:p w14:paraId="366B1DC4" w14:textId="77777777" w:rsidR="00C25C8F" w:rsidRPr="00C25C8F" w:rsidRDefault="00C25C8F" w:rsidP="00C25C8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4280662" w14:textId="77777777" w:rsidR="00C25C8F" w:rsidRPr="00C25C8F" w:rsidRDefault="00C25C8F" w:rsidP="00C25C8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25C8F">
        <w:rPr>
          <w:rFonts w:ascii="Arial" w:hAnsi="Arial" w:cs="Arial"/>
          <w:b/>
          <w:bCs/>
        </w:rPr>
        <w:t>Da Consiglio e Fondazione nazionali della categoria un supporto operativo ai professionisti impegnati in un processo complesso che presuppone un approccio strutturato e integrato tra più ambiti disciplinari</w:t>
      </w:r>
    </w:p>
    <w:p w14:paraId="6E89CDB1" w14:textId="77777777" w:rsidR="00C25C8F" w:rsidRPr="00C25C8F" w:rsidRDefault="00C25C8F" w:rsidP="00C25C8F">
      <w:pPr>
        <w:spacing w:after="0" w:line="240" w:lineRule="auto"/>
        <w:jc w:val="both"/>
        <w:rPr>
          <w:rFonts w:ascii="Arial" w:hAnsi="Arial" w:cs="Arial"/>
        </w:rPr>
      </w:pPr>
      <w:r w:rsidRPr="00C25C8F">
        <w:rPr>
          <w:rFonts w:ascii="Arial" w:hAnsi="Arial" w:cs="Arial"/>
        </w:rPr>
        <w:t xml:space="preserve"> </w:t>
      </w:r>
    </w:p>
    <w:p w14:paraId="2DCB83C6" w14:textId="77777777" w:rsidR="00C25C8F" w:rsidRDefault="00C25C8F" w:rsidP="00C25C8F">
      <w:pPr>
        <w:spacing w:after="0" w:line="240" w:lineRule="auto"/>
        <w:jc w:val="both"/>
        <w:rPr>
          <w:rFonts w:ascii="Arial" w:hAnsi="Arial" w:cs="Arial"/>
        </w:rPr>
      </w:pPr>
      <w:r w:rsidRPr="00C25C8F">
        <w:rPr>
          <w:rFonts w:ascii="Arial" w:hAnsi="Arial" w:cs="Arial"/>
        </w:rPr>
        <w:t xml:space="preserve">Roma, 5 agosto 2025 </w:t>
      </w:r>
      <w:r>
        <w:rPr>
          <w:rFonts w:ascii="Arial" w:hAnsi="Arial" w:cs="Arial"/>
        </w:rPr>
        <w:t>–</w:t>
      </w:r>
      <w:r w:rsidRPr="00C25C8F">
        <w:rPr>
          <w:rFonts w:ascii="Arial" w:hAnsi="Arial" w:cs="Arial"/>
        </w:rPr>
        <w:t xml:space="preserve"> Il Consiglio e la Fondazione nazionali dei commercialisti hanno pubblicato il documento “</w:t>
      </w:r>
      <w:r w:rsidRPr="00C25C8F">
        <w:rPr>
          <w:rFonts w:ascii="Arial" w:hAnsi="Arial" w:cs="Arial"/>
          <w:b/>
          <w:bCs/>
        </w:rPr>
        <w:t>Linee guida in materia di legalizzazione delle aziende sottoposte a misura ablativa o non ablativa</w:t>
      </w:r>
      <w:r w:rsidRPr="00C25C8F">
        <w:rPr>
          <w:rFonts w:ascii="Arial" w:hAnsi="Arial" w:cs="Arial"/>
        </w:rPr>
        <w:t xml:space="preserve">”. Il lavoro, realizzato dalla commissione “Misure ablative e non ablative: legalizzazione aziende” presieduta da </w:t>
      </w:r>
      <w:r w:rsidRPr="00C25C8F">
        <w:rPr>
          <w:rFonts w:ascii="Arial" w:hAnsi="Arial" w:cs="Arial"/>
          <w:b/>
          <w:bCs/>
        </w:rPr>
        <w:t>Mario Chiodi</w:t>
      </w:r>
      <w:r w:rsidRPr="00C25C8F">
        <w:rPr>
          <w:rFonts w:ascii="Arial" w:hAnsi="Arial" w:cs="Arial"/>
        </w:rPr>
        <w:t xml:space="preserve">, con il contributo del ricercatore della Fondazione nazionale </w:t>
      </w:r>
      <w:r w:rsidRPr="00C25C8F">
        <w:rPr>
          <w:rFonts w:ascii="Arial" w:hAnsi="Arial" w:cs="Arial"/>
          <w:b/>
          <w:bCs/>
        </w:rPr>
        <w:t>Luca D'Amore</w:t>
      </w:r>
      <w:r w:rsidRPr="00C25C8F">
        <w:rPr>
          <w:rFonts w:ascii="Arial" w:hAnsi="Arial" w:cs="Arial"/>
        </w:rPr>
        <w:t xml:space="preserve">, rientra tra le attività dell’area “Funzioni giudiziarie e ADR”, alla quale è delegata la segretaria nazionale </w:t>
      </w:r>
      <w:r w:rsidRPr="00C25C8F">
        <w:rPr>
          <w:rFonts w:ascii="Arial" w:hAnsi="Arial" w:cs="Arial"/>
          <w:b/>
          <w:bCs/>
        </w:rPr>
        <w:t>Giovanna Greco</w:t>
      </w:r>
      <w:r w:rsidRPr="00C25C8F">
        <w:rPr>
          <w:rFonts w:ascii="Arial" w:hAnsi="Arial" w:cs="Arial"/>
        </w:rPr>
        <w:t>.</w:t>
      </w:r>
    </w:p>
    <w:p w14:paraId="4C95C97D" w14:textId="77777777" w:rsidR="00C25C8F" w:rsidRDefault="00C25C8F" w:rsidP="00C25C8F">
      <w:pPr>
        <w:spacing w:after="0" w:line="240" w:lineRule="auto"/>
        <w:jc w:val="both"/>
        <w:rPr>
          <w:rFonts w:ascii="Arial" w:hAnsi="Arial" w:cs="Arial"/>
        </w:rPr>
      </w:pPr>
    </w:p>
    <w:p w14:paraId="37A4F550" w14:textId="295FA57D" w:rsidR="00C25C8F" w:rsidRDefault="00C25C8F" w:rsidP="00C25C8F">
      <w:pPr>
        <w:spacing w:after="0" w:line="240" w:lineRule="auto"/>
        <w:jc w:val="both"/>
        <w:rPr>
          <w:rFonts w:ascii="Arial" w:hAnsi="Arial" w:cs="Arial"/>
        </w:rPr>
      </w:pPr>
      <w:r w:rsidRPr="00C25C8F">
        <w:rPr>
          <w:rFonts w:ascii="Arial" w:hAnsi="Arial" w:cs="Arial"/>
        </w:rPr>
        <w:t>Obiettivo del documento è fornire un supporto operativo al professionista chiamato a svolgere il ruolo di amministratore giudiziario (o di consulente dell’amministrazione giudiziaria) nel delicato compito di legalizzazione dell’impresa attinta da misura ablativa o non ablativa, attraverso un’analisi approfondita e operativa dei profili normativi, gestionali e organizzativi delle diverse misure, fornendo strumenti di valutazione dei rischi di compliance, indicazioni sul sistema dei controlli interni e sulla gestione dei rapporti con terze parti.</w:t>
      </w:r>
    </w:p>
    <w:p w14:paraId="59C7F4B9" w14:textId="77777777" w:rsidR="00C25C8F" w:rsidRPr="00C25C8F" w:rsidRDefault="00C25C8F" w:rsidP="00C25C8F">
      <w:pPr>
        <w:spacing w:after="0" w:line="240" w:lineRule="auto"/>
        <w:jc w:val="both"/>
        <w:rPr>
          <w:rFonts w:ascii="Arial" w:hAnsi="Arial" w:cs="Arial"/>
        </w:rPr>
      </w:pPr>
    </w:p>
    <w:p w14:paraId="4E63DB33" w14:textId="77777777" w:rsidR="00C25C8F" w:rsidRDefault="00C25C8F" w:rsidP="00C25C8F">
      <w:pPr>
        <w:spacing w:after="0" w:line="240" w:lineRule="auto"/>
        <w:jc w:val="both"/>
        <w:rPr>
          <w:rFonts w:ascii="Arial" w:hAnsi="Arial" w:cs="Arial"/>
        </w:rPr>
      </w:pPr>
      <w:r w:rsidRPr="00C25C8F">
        <w:rPr>
          <w:rFonts w:ascii="Arial" w:hAnsi="Arial" w:cs="Arial"/>
        </w:rPr>
        <w:t xml:space="preserve">Il tema della legalizzazione delle aziende sottoposte a misure ablative (sequestro e confisca penale o di prevenzione) o non ablative (amministrazione giudiziaria e controllo giudiziario ex artt. 34 e 34-bis </w:t>
      </w:r>
      <w:proofErr w:type="spellStart"/>
      <w:r w:rsidRPr="00C25C8F">
        <w:rPr>
          <w:rFonts w:ascii="Arial" w:hAnsi="Arial" w:cs="Arial"/>
        </w:rPr>
        <w:t>d.lgs</w:t>
      </w:r>
      <w:proofErr w:type="spellEnd"/>
      <w:r w:rsidRPr="00C25C8F">
        <w:rPr>
          <w:rFonts w:ascii="Arial" w:hAnsi="Arial" w:cs="Arial"/>
        </w:rPr>
        <w:t xml:space="preserve"> n. 159/2011 –  per brevità CAM) si colloca nel più ampio contesto della lotta alla criminalità organizzata, alla corruzione e al riciclaggio, ma anche nel tentativo di salvaguardare il tessuto economico-produttivo e occupazionale, anche tenuto conto, con particolare riferimento alle tipologie di imprese attinte, che la sottoposizione a queste misure sta avendo sempre più larga diffusione anche in settori in precedenza non interessati come, ad esempio, moda, grande distribuzione, calcio, imprese pubbliche.</w:t>
      </w:r>
    </w:p>
    <w:p w14:paraId="28AF2E4D" w14:textId="77777777" w:rsidR="00C25C8F" w:rsidRPr="00C25C8F" w:rsidRDefault="00C25C8F" w:rsidP="00C25C8F">
      <w:pPr>
        <w:spacing w:after="0" w:line="240" w:lineRule="auto"/>
        <w:jc w:val="both"/>
        <w:rPr>
          <w:rFonts w:ascii="Arial" w:hAnsi="Arial" w:cs="Arial"/>
        </w:rPr>
      </w:pPr>
    </w:p>
    <w:p w14:paraId="67DD04E6" w14:textId="77777777" w:rsidR="00C25C8F" w:rsidRDefault="00C25C8F" w:rsidP="00C25C8F">
      <w:pPr>
        <w:spacing w:after="0" w:line="240" w:lineRule="auto"/>
        <w:jc w:val="both"/>
        <w:rPr>
          <w:rFonts w:ascii="Arial" w:hAnsi="Arial" w:cs="Arial"/>
        </w:rPr>
      </w:pPr>
      <w:r w:rsidRPr="00C25C8F">
        <w:rPr>
          <w:rFonts w:ascii="Arial" w:hAnsi="Arial" w:cs="Arial"/>
        </w:rPr>
        <w:t>L’obiettivo della legalizzazione non è solo neutralizzare il controllo criminale (o comunque la deviazione illegale che l’azienda ha avuto) ma anche recuperare l’impresa alla legalità, evitando il fallimento e preservando l’attività economica lecita, i livelli occupazionali e il valore sociale dell’impresa sul territorio.</w:t>
      </w:r>
    </w:p>
    <w:p w14:paraId="24E5AFAB" w14:textId="77777777" w:rsidR="00C25C8F" w:rsidRPr="00C25C8F" w:rsidRDefault="00C25C8F" w:rsidP="00C25C8F">
      <w:pPr>
        <w:spacing w:after="0" w:line="240" w:lineRule="auto"/>
        <w:jc w:val="both"/>
        <w:rPr>
          <w:rFonts w:ascii="Arial" w:hAnsi="Arial" w:cs="Arial"/>
        </w:rPr>
      </w:pPr>
    </w:p>
    <w:p w14:paraId="2511CF70" w14:textId="77777777" w:rsidR="00C25C8F" w:rsidRDefault="00C25C8F" w:rsidP="00C25C8F">
      <w:pPr>
        <w:spacing w:after="0" w:line="240" w:lineRule="auto"/>
        <w:jc w:val="both"/>
        <w:rPr>
          <w:rFonts w:ascii="Arial" w:hAnsi="Arial" w:cs="Arial"/>
        </w:rPr>
      </w:pPr>
      <w:r w:rsidRPr="00C25C8F">
        <w:rPr>
          <w:rFonts w:ascii="Arial" w:hAnsi="Arial" w:cs="Arial"/>
        </w:rPr>
        <w:t>I commercialisti sottolineano come la legalizzazione delle imprese oggetto di misure ablative o non ablative richiede sempre di più un approccio strutturato e integrato tra più ambiti disciplinari e, segnatamente:</w:t>
      </w:r>
    </w:p>
    <w:p w14:paraId="130A52E4" w14:textId="77777777" w:rsidR="002F2AED" w:rsidRPr="00C25C8F" w:rsidRDefault="002F2AED" w:rsidP="00C25C8F">
      <w:pPr>
        <w:spacing w:after="0" w:line="240" w:lineRule="auto"/>
        <w:jc w:val="both"/>
        <w:rPr>
          <w:rFonts w:ascii="Arial" w:hAnsi="Arial" w:cs="Arial"/>
        </w:rPr>
      </w:pPr>
    </w:p>
    <w:p w14:paraId="374FB409" w14:textId="77777777" w:rsidR="00C25C8F" w:rsidRPr="00C25C8F" w:rsidRDefault="00C25C8F" w:rsidP="00C25C8F">
      <w:pPr>
        <w:spacing w:after="0" w:line="240" w:lineRule="auto"/>
        <w:jc w:val="both"/>
        <w:rPr>
          <w:rFonts w:ascii="Arial" w:hAnsi="Arial" w:cs="Arial"/>
        </w:rPr>
      </w:pPr>
      <w:r w:rsidRPr="00C25C8F">
        <w:rPr>
          <w:rFonts w:ascii="Arial" w:hAnsi="Arial" w:cs="Arial"/>
        </w:rPr>
        <w:t>A.  Giuridico (non è sufficiente la sola conoscenza del Codice Antimafia e della giurisprudenza in materia, essendo necessario applicare sovente molteplici corpus normativi spesso non allineati);</w:t>
      </w:r>
    </w:p>
    <w:p w14:paraId="07BA8787" w14:textId="77777777" w:rsidR="00C25C8F" w:rsidRPr="00C25C8F" w:rsidRDefault="00C25C8F" w:rsidP="00C25C8F">
      <w:pPr>
        <w:spacing w:after="0" w:line="240" w:lineRule="auto"/>
        <w:jc w:val="both"/>
        <w:rPr>
          <w:rFonts w:ascii="Arial" w:hAnsi="Arial" w:cs="Arial"/>
        </w:rPr>
      </w:pPr>
      <w:r w:rsidRPr="00C25C8F">
        <w:rPr>
          <w:rFonts w:ascii="Arial" w:hAnsi="Arial" w:cs="Arial"/>
        </w:rPr>
        <w:t>B.  Economico-aziendale (analisi della sostenibilità dell’impresa: stato patrimoniale, flussi finanziari, margini di redditività, piani industriali di rilancio, ridefinizione della governance aziendale);</w:t>
      </w:r>
    </w:p>
    <w:p w14:paraId="19EDF9BF" w14:textId="77777777" w:rsidR="00C25C8F" w:rsidRPr="00C25C8F" w:rsidRDefault="00C25C8F" w:rsidP="00C25C8F">
      <w:pPr>
        <w:spacing w:after="0" w:line="240" w:lineRule="auto"/>
        <w:jc w:val="both"/>
        <w:rPr>
          <w:rFonts w:ascii="Arial" w:hAnsi="Arial" w:cs="Arial"/>
        </w:rPr>
      </w:pPr>
      <w:r w:rsidRPr="00C25C8F">
        <w:rPr>
          <w:rFonts w:ascii="Arial" w:hAnsi="Arial" w:cs="Arial"/>
        </w:rPr>
        <w:lastRenderedPageBreak/>
        <w:t>C.  Contabile e fiscale (revisione dei bilanci pregressi, verifica della regolarità fiscale, risanamento di eventuali situazioni debitorie con il fisco o con altri enti pubblici);</w:t>
      </w:r>
    </w:p>
    <w:p w14:paraId="5992D499" w14:textId="77777777" w:rsidR="00C25C8F" w:rsidRPr="00C25C8F" w:rsidRDefault="00C25C8F" w:rsidP="00C25C8F">
      <w:pPr>
        <w:spacing w:after="0" w:line="240" w:lineRule="auto"/>
        <w:jc w:val="both"/>
        <w:rPr>
          <w:rFonts w:ascii="Arial" w:hAnsi="Arial" w:cs="Arial"/>
        </w:rPr>
      </w:pPr>
      <w:r w:rsidRPr="00C25C8F">
        <w:rPr>
          <w:rFonts w:ascii="Arial" w:hAnsi="Arial" w:cs="Arial"/>
        </w:rPr>
        <w:t>D.  Manageriale e strategico (che implica, in primis, la gestione dell’impresa da parte di amministratori giudiziari esperti e da professionisti qualificati a supporto dello staff dell’amministrazione giudiziaria. Risulta, inoltre, necessario il recupero di relazioni commerciali con fornitori e clienti, rebranding e rilancio dell’immagine aziendale, spesso compromessa da collegamenti con consorterie criminali);</w:t>
      </w:r>
    </w:p>
    <w:p w14:paraId="70F2E4F8" w14:textId="77777777" w:rsidR="00C25C8F" w:rsidRPr="00C25C8F" w:rsidRDefault="00C25C8F" w:rsidP="00C25C8F">
      <w:pPr>
        <w:spacing w:after="0" w:line="240" w:lineRule="auto"/>
        <w:jc w:val="both"/>
        <w:rPr>
          <w:rFonts w:ascii="Arial" w:hAnsi="Arial" w:cs="Arial"/>
        </w:rPr>
      </w:pPr>
      <w:r w:rsidRPr="00C25C8F">
        <w:rPr>
          <w:rFonts w:ascii="Arial" w:hAnsi="Arial" w:cs="Arial"/>
        </w:rPr>
        <w:t>E.  Sociale e lavorativo (dialogo con i lavoratori e le rappresentanze sindacali, coinvolgimento del territorio, valorizzazione del concetto di “impresa confiscata come bene comune”);</w:t>
      </w:r>
    </w:p>
    <w:p w14:paraId="3146F3CF" w14:textId="1A90E720" w:rsidR="00C25C8F" w:rsidRDefault="00C25C8F" w:rsidP="00C25C8F">
      <w:pPr>
        <w:spacing w:after="0" w:line="240" w:lineRule="auto"/>
        <w:jc w:val="both"/>
        <w:rPr>
          <w:rFonts w:ascii="Arial" w:hAnsi="Arial" w:cs="Arial"/>
        </w:rPr>
      </w:pPr>
      <w:r w:rsidRPr="00C25C8F">
        <w:rPr>
          <w:rFonts w:ascii="Arial" w:hAnsi="Arial" w:cs="Arial"/>
        </w:rPr>
        <w:t>F.  Comunicazione e cultura della legalità (promozione di buone pratiche, progetti di responsabilità sociale d’impresa, coinvolgimento della cittadinanza in percorsi di legalità)</w:t>
      </w:r>
      <w:r>
        <w:rPr>
          <w:rFonts w:ascii="Arial" w:hAnsi="Arial" w:cs="Arial"/>
        </w:rPr>
        <w:t>.</w:t>
      </w:r>
    </w:p>
    <w:p w14:paraId="38EC753D" w14:textId="77777777" w:rsidR="00C25C8F" w:rsidRPr="00C25C8F" w:rsidRDefault="00C25C8F" w:rsidP="00C25C8F">
      <w:pPr>
        <w:spacing w:after="0" w:line="240" w:lineRule="auto"/>
        <w:jc w:val="both"/>
        <w:rPr>
          <w:rFonts w:ascii="Arial" w:hAnsi="Arial" w:cs="Arial"/>
        </w:rPr>
      </w:pPr>
    </w:p>
    <w:p w14:paraId="555C8786" w14:textId="42782B3B" w:rsidR="00BF7A37" w:rsidRPr="00C25C8F" w:rsidRDefault="00C25C8F" w:rsidP="00C25C8F">
      <w:pPr>
        <w:spacing w:after="0" w:line="240" w:lineRule="auto"/>
        <w:jc w:val="both"/>
        <w:rPr>
          <w:rFonts w:ascii="Arial" w:hAnsi="Arial" w:cs="Arial"/>
        </w:rPr>
      </w:pPr>
      <w:r w:rsidRPr="00C25C8F">
        <w:rPr>
          <w:rFonts w:ascii="Arial" w:hAnsi="Arial" w:cs="Arial"/>
        </w:rPr>
        <w:t xml:space="preserve">“La legalizzazione delle aziende sottoposte a misure ablative e non ablative – è scritto nell’introduzione </w:t>
      </w:r>
      <w:r>
        <w:rPr>
          <w:rFonts w:ascii="Arial" w:hAnsi="Arial" w:cs="Arial"/>
        </w:rPr>
        <w:t>–</w:t>
      </w:r>
      <w:r w:rsidRPr="00C25C8F">
        <w:rPr>
          <w:rFonts w:ascii="Arial" w:hAnsi="Arial" w:cs="Arial"/>
        </w:rPr>
        <w:t xml:space="preserve"> richiede un lavoro sinergico tra magistratura, amministratori giudiziari, esperti aziendali, enti pubblici (tra cui l’ANBSC per le misure ablative), società civile e mondo del lavoro. È un processo complesso che va oltre la dimensione giuridica per divenire un’operazione di rigenerazione economica e culturale, con potenzialità trasformative per l’intero tessuto sociale”.</w:t>
      </w:r>
    </w:p>
    <w:sectPr w:rsidR="00BF7A37" w:rsidRPr="00C25C8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195FB" w14:textId="77777777" w:rsidR="005C7717" w:rsidRDefault="005C7717" w:rsidP="00385A1B">
      <w:pPr>
        <w:spacing w:after="0" w:line="240" w:lineRule="auto"/>
      </w:pPr>
      <w:r>
        <w:separator/>
      </w:r>
    </w:p>
  </w:endnote>
  <w:endnote w:type="continuationSeparator" w:id="0">
    <w:p w14:paraId="1BF08F94" w14:textId="77777777" w:rsidR="005C7717" w:rsidRDefault="005C7717" w:rsidP="00385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E6FE" w14:textId="77777777" w:rsidR="005C7717" w:rsidRDefault="005C7717" w:rsidP="00385A1B">
      <w:pPr>
        <w:spacing w:after="0" w:line="240" w:lineRule="auto"/>
      </w:pPr>
      <w:r>
        <w:separator/>
      </w:r>
    </w:p>
  </w:footnote>
  <w:footnote w:type="continuationSeparator" w:id="0">
    <w:p w14:paraId="43087AE5" w14:textId="77777777" w:rsidR="005C7717" w:rsidRDefault="005C7717" w:rsidP="00385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2701" w14:textId="5BCBE924" w:rsidR="00385A1B" w:rsidRDefault="00385A1B" w:rsidP="008C4263">
    <w:pPr>
      <w:pStyle w:val="Intestazione"/>
      <w:jc w:val="center"/>
    </w:pPr>
    <w:r>
      <w:rPr>
        <w:noProof/>
      </w:rPr>
      <w:drawing>
        <wp:inline distT="0" distB="0" distL="0" distR="0" wp14:anchorId="5976E260" wp14:editId="40D77057">
          <wp:extent cx="2183130" cy="741045"/>
          <wp:effectExtent l="0" t="0" r="0" b="1905"/>
          <wp:docPr id="1821521868" name="Immagine 1" descr="Immagine che contiene Elementi grafici, art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521868" name="Immagine 1" descr="Immagine che contiene Elementi grafici, arte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13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4263">
      <w:rPr>
        <w:noProof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22"/>
    <w:rsid w:val="00004622"/>
    <w:rsid w:val="00035F97"/>
    <w:rsid w:val="00083D91"/>
    <w:rsid w:val="000A4488"/>
    <w:rsid w:val="000C291A"/>
    <w:rsid w:val="000E61F5"/>
    <w:rsid w:val="0011506B"/>
    <w:rsid w:val="0015567A"/>
    <w:rsid w:val="00170A4E"/>
    <w:rsid w:val="00183217"/>
    <w:rsid w:val="001A308B"/>
    <w:rsid w:val="001B5121"/>
    <w:rsid w:val="001D59FF"/>
    <w:rsid w:val="001E78AE"/>
    <w:rsid w:val="0022280D"/>
    <w:rsid w:val="002B5E5F"/>
    <w:rsid w:val="002F2AED"/>
    <w:rsid w:val="002F57EE"/>
    <w:rsid w:val="00385A1B"/>
    <w:rsid w:val="0040222A"/>
    <w:rsid w:val="004419AF"/>
    <w:rsid w:val="00462C64"/>
    <w:rsid w:val="004D09DE"/>
    <w:rsid w:val="004F0F17"/>
    <w:rsid w:val="005027EB"/>
    <w:rsid w:val="005532C3"/>
    <w:rsid w:val="00563798"/>
    <w:rsid w:val="00597BC9"/>
    <w:rsid w:val="005A240E"/>
    <w:rsid w:val="005C7717"/>
    <w:rsid w:val="005F224A"/>
    <w:rsid w:val="006200EF"/>
    <w:rsid w:val="00633733"/>
    <w:rsid w:val="00640911"/>
    <w:rsid w:val="0066457F"/>
    <w:rsid w:val="00685414"/>
    <w:rsid w:val="006A5B85"/>
    <w:rsid w:val="00755CA2"/>
    <w:rsid w:val="00782EA2"/>
    <w:rsid w:val="00843E39"/>
    <w:rsid w:val="008472E7"/>
    <w:rsid w:val="00860602"/>
    <w:rsid w:val="00894931"/>
    <w:rsid w:val="008A02DE"/>
    <w:rsid w:val="008B0A2C"/>
    <w:rsid w:val="008B5FB9"/>
    <w:rsid w:val="008C4263"/>
    <w:rsid w:val="00A3421D"/>
    <w:rsid w:val="00A641BB"/>
    <w:rsid w:val="00B03E9B"/>
    <w:rsid w:val="00B111A7"/>
    <w:rsid w:val="00B235B7"/>
    <w:rsid w:val="00B33272"/>
    <w:rsid w:val="00B522DF"/>
    <w:rsid w:val="00BC075B"/>
    <w:rsid w:val="00BF7A37"/>
    <w:rsid w:val="00C108A6"/>
    <w:rsid w:val="00C25C8F"/>
    <w:rsid w:val="00C32544"/>
    <w:rsid w:val="00C826D6"/>
    <w:rsid w:val="00C909E7"/>
    <w:rsid w:val="00C973BC"/>
    <w:rsid w:val="00CA6894"/>
    <w:rsid w:val="00D147F6"/>
    <w:rsid w:val="00D36B1F"/>
    <w:rsid w:val="00D50A46"/>
    <w:rsid w:val="00D54800"/>
    <w:rsid w:val="00D54C7A"/>
    <w:rsid w:val="00DE3792"/>
    <w:rsid w:val="00E43EA8"/>
    <w:rsid w:val="00E83B0F"/>
    <w:rsid w:val="00EA7DA0"/>
    <w:rsid w:val="00EB4A5E"/>
    <w:rsid w:val="00EC44DB"/>
    <w:rsid w:val="00EC55B1"/>
    <w:rsid w:val="00EE0627"/>
    <w:rsid w:val="00EE7331"/>
    <w:rsid w:val="00F23A96"/>
    <w:rsid w:val="00F262DF"/>
    <w:rsid w:val="00F6544B"/>
    <w:rsid w:val="00F905B3"/>
    <w:rsid w:val="00F97935"/>
    <w:rsid w:val="00FA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6F4F6"/>
  <w15:chartTrackingRefBased/>
  <w15:docId w15:val="{205D50D8-3748-40D7-936C-3E2397C9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4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4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4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4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4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4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4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4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4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4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4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4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46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46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46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46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46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46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4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4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4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4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4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46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46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46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4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46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462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85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A1B"/>
  </w:style>
  <w:style w:type="paragraph" w:styleId="Pidipagina">
    <w:name w:val="footer"/>
    <w:basedOn w:val="Normale"/>
    <w:link w:val="PidipaginaCarattere"/>
    <w:uiPriority w:val="99"/>
    <w:unhideWhenUsed/>
    <w:rsid w:val="00385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A1B"/>
  </w:style>
  <w:style w:type="paragraph" w:customStyle="1" w:styleId="Default">
    <w:name w:val="Default"/>
    <w:rsid w:val="00782EA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C973BC"/>
    <w:rPr>
      <w:color w:val="467886" w:themeColor="hyperlink"/>
      <w:u w:val="single"/>
    </w:rPr>
  </w:style>
  <w:style w:type="paragraph" w:customStyle="1" w:styleId="Stile">
    <w:name w:val="Stile"/>
    <w:rsid w:val="00C973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lang w:eastAsia="it-IT"/>
    </w:rPr>
  </w:style>
  <w:style w:type="paragraph" w:customStyle="1" w:styleId="TipoDocumento">
    <w:name w:val="Tipo Documento"/>
    <w:basedOn w:val="Normale"/>
    <w:qFormat/>
    <w:rsid w:val="00C973BC"/>
    <w:pPr>
      <w:spacing w:after="200" w:line="240" w:lineRule="auto"/>
      <w:jc w:val="both"/>
    </w:pPr>
    <w:rPr>
      <w:rFonts w:eastAsiaTheme="minorEastAsia" w:cs="Times New Roman (Corpo CS)"/>
      <w:b/>
      <w:bCs/>
      <w:caps/>
      <w:color w:val="C00000"/>
      <w:spacing w:val="20"/>
      <w:kern w:val="0"/>
      <w:sz w:val="20"/>
      <w:szCs w:val="21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373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2B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B5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18</cp:revision>
  <cp:lastPrinted>2025-07-09T07:31:00Z</cp:lastPrinted>
  <dcterms:created xsi:type="dcterms:W3CDTF">2025-07-14T09:47:00Z</dcterms:created>
  <dcterms:modified xsi:type="dcterms:W3CDTF">2025-08-26T14:37:00Z</dcterms:modified>
</cp:coreProperties>
</file>