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4F4C" w14:textId="77777777" w:rsidR="00EC44DB" w:rsidRPr="0040222A" w:rsidRDefault="00EC44DB" w:rsidP="005A240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19E008C" w14:textId="77777777" w:rsidR="00BF7A37" w:rsidRPr="00BF7A37" w:rsidRDefault="00BF7A37" w:rsidP="00BF7A3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BF7A37">
        <w:rPr>
          <w:rFonts w:ascii="Arial" w:hAnsi="Arial" w:cs="Arial"/>
          <w:b/>
          <w:bCs/>
          <w:u w:val="single"/>
        </w:rPr>
        <w:t>COMUNICATO STAMPA</w:t>
      </w:r>
    </w:p>
    <w:p w14:paraId="5587E21C" w14:textId="77777777" w:rsidR="00BF7A37" w:rsidRPr="00BF7A37" w:rsidRDefault="00BF7A37" w:rsidP="00BF7A3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BF7A37">
        <w:rPr>
          <w:rFonts w:ascii="Arial" w:hAnsi="Arial" w:cs="Arial"/>
          <w:b/>
          <w:bCs/>
          <w:u w:val="single"/>
        </w:rPr>
        <w:t xml:space="preserve"> </w:t>
      </w:r>
    </w:p>
    <w:p w14:paraId="58FA31B3" w14:textId="77777777" w:rsidR="00BF7A37" w:rsidRDefault="00BF7A37" w:rsidP="00BF7A3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F7A37">
        <w:rPr>
          <w:rFonts w:ascii="Arial" w:hAnsi="Arial" w:cs="Arial"/>
          <w:b/>
          <w:bCs/>
        </w:rPr>
        <w:t>SOCIETÀ DI CAPITALI, POSITIVA LA DINAMICA DEL FATTURATO: +4,8% NEL 2024 E + 5,4% NEL 2025</w:t>
      </w:r>
    </w:p>
    <w:p w14:paraId="55AE7EA0" w14:textId="77777777" w:rsidR="00BF7A37" w:rsidRPr="00BF7A37" w:rsidRDefault="00BF7A37" w:rsidP="00BF7A3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517E97" w14:textId="77777777" w:rsidR="00BF7A37" w:rsidRPr="00BF7A37" w:rsidRDefault="00BF7A37" w:rsidP="00BF7A3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F7A37">
        <w:rPr>
          <w:rFonts w:ascii="Arial" w:hAnsi="Arial" w:cs="Arial"/>
          <w:b/>
          <w:bCs/>
        </w:rPr>
        <w:t>Le stime dell’Osservatorio Bilanci della Fondazione nazionale dei commercialisti. Nel 2023 migliorati i conti delle società: è cresciuto il grado di patrimonializzazione e si è ridotto l’indebitamento.  Unico dato in controtendenza l’aumento dei debiti tributari</w:t>
      </w:r>
    </w:p>
    <w:p w14:paraId="7E72232B" w14:textId="77777777" w:rsidR="00BF7A37" w:rsidRPr="00BF7A37" w:rsidRDefault="00BF7A37" w:rsidP="00BF7A3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BF7A37">
        <w:rPr>
          <w:rFonts w:ascii="Arial" w:hAnsi="Arial" w:cs="Arial"/>
          <w:b/>
          <w:bCs/>
          <w:u w:val="single"/>
        </w:rPr>
        <w:t xml:space="preserve"> </w:t>
      </w:r>
    </w:p>
    <w:p w14:paraId="7BBC3149" w14:textId="45102611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1A308B">
        <w:rPr>
          <w:rFonts w:ascii="Arial" w:hAnsi="Arial" w:cs="Arial"/>
          <w:i/>
          <w:iCs/>
        </w:rPr>
        <w:t xml:space="preserve">Roma, </w:t>
      </w:r>
      <w:r w:rsidR="001A308B" w:rsidRPr="001A308B">
        <w:rPr>
          <w:rFonts w:ascii="Arial" w:hAnsi="Arial" w:cs="Arial"/>
          <w:i/>
          <w:iCs/>
        </w:rPr>
        <w:t>1° agosto</w:t>
      </w:r>
      <w:r w:rsidRPr="001A308B">
        <w:rPr>
          <w:rFonts w:ascii="Arial" w:hAnsi="Arial" w:cs="Arial"/>
          <w:i/>
          <w:iCs/>
        </w:rPr>
        <w:t xml:space="preserve"> 2025</w:t>
      </w:r>
      <w:r w:rsidRPr="00BF7A37">
        <w:rPr>
          <w:rFonts w:ascii="Arial" w:hAnsi="Arial" w:cs="Arial"/>
        </w:rPr>
        <w:t xml:space="preserve"> </w:t>
      </w:r>
      <w:r w:rsidR="001A308B">
        <w:rPr>
          <w:rFonts w:ascii="Arial" w:hAnsi="Arial" w:cs="Arial"/>
        </w:rPr>
        <w:t>–</w:t>
      </w:r>
      <w:r w:rsidRPr="00BF7A37">
        <w:rPr>
          <w:rFonts w:ascii="Arial" w:hAnsi="Arial" w:cs="Arial"/>
        </w:rPr>
        <w:t xml:space="preserve"> Il fatturato delle società di capitali, che rappresenta il 75% del fatturato totale delle imprese italiane, nel 2025 crescerà ad un ritmo leggermente superiore a quello stimato per il 2024. In particolare, dopo il +3,2% del 2023, nel 2024 il fatturato crescerà del 4,8% per poi salire a un +5,4% nel 2025, mentre la crescita reale, cioè al netto dell’inflazione, sarà positiva e pari a +3,8% per il biennio 2024-2025. La crescita a doppia cifra del biennio </w:t>
      </w:r>
      <w:proofErr w:type="spellStart"/>
      <w:r w:rsidRPr="00BF7A37">
        <w:rPr>
          <w:rFonts w:ascii="Arial" w:hAnsi="Arial" w:cs="Arial"/>
        </w:rPr>
        <w:t>post-covid</w:t>
      </w:r>
      <w:proofErr w:type="spellEnd"/>
      <w:r w:rsidRPr="00BF7A37">
        <w:rPr>
          <w:rFonts w:ascii="Arial" w:hAnsi="Arial" w:cs="Arial"/>
        </w:rPr>
        <w:t xml:space="preserve"> (+25,5% nel 2021 e +26,1% nel 2022) è servita a recuperare i livelli precedenti alla pandemia ed è ormai incorporata </w:t>
      </w:r>
      <w:proofErr w:type="gramStart"/>
      <w:r w:rsidRPr="00BF7A37">
        <w:rPr>
          <w:rFonts w:ascii="Arial" w:hAnsi="Arial" w:cs="Arial"/>
        </w:rPr>
        <w:t>nei trend attuali</w:t>
      </w:r>
      <w:proofErr w:type="gramEnd"/>
      <w:r w:rsidRPr="00BF7A37">
        <w:rPr>
          <w:rFonts w:ascii="Arial" w:hAnsi="Arial" w:cs="Arial"/>
        </w:rPr>
        <w:t xml:space="preserve">. Sono queste le stime della Fondazione nazionale dei commercialisti contenute </w:t>
      </w:r>
      <w:r w:rsidRPr="001A308B">
        <w:rPr>
          <w:rFonts w:ascii="Arial" w:hAnsi="Arial" w:cs="Arial"/>
        </w:rPr>
        <w:t>nell’</w:t>
      </w:r>
      <w:r w:rsidRPr="001A308B">
        <w:rPr>
          <w:rFonts w:ascii="Arial" w:hAnsi="Arial" w:cs="Arial"/>
          <w:b/>
          <w:bCs/>
        </w:rPr>
        <w:t>Osservatorio bilanci delle società di capitali</w:t>
      </w:r>
      <w:r w:rsidRPr="00BF7A37">
        <w:rPr>
          <w:rFonts w:ascii="Arial" w:hAnsi="Arial" w:cs="Arial"/>
        </w:rPr>
        <w:t>, pubblicato oggi. Le stime non tengono conto dell’effetto dei dazi Usa che attualmente si stima possa comportare - nel caso di dazi al 15% - una perdita di 22,5 miliardi di fatturato, circa lo 0,5% del fatturato totale delle imprese italiane.</w:t>
      </w:r>
    </w:p>
    <w:p w14:paraId="7DBBC9B5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 xml:space="preserve"> </w:t>
      </w:r>
    </w:p>
    <w:p w14:paraId="28361F43" w14:textId="77777777" w:rsidR="00BF7A37" w:rsidRPr="001A308B" w:rsidRDefault="00BF7A37" w:rsidP="00BF7A3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308B">
        <w:rPr>
          <w:rFonts w:ascii="Arial" w:hAnsi="Arial" w:cs="Arial"/>
          <w:b/>
          <w:bCs/>
        </w:rPr>
        <w:t>IL 2023</w:t>
      </w:r>
    </w:p>
    <w:p w14:paraId="3F5A2694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>Intanto, il quadro definitivo che emerge dai bilanci 2023 di quasi 600 mila società di capitali con fatturato compreso tra 100 mila e un miliardo di euro, nonostante il forte rallentamento nella crescita del fatturato successivo al boom degli anni post-Covid, dovuto all’effetto statistico tipico che si verifica dopo un rimbalzo spropositato, è particolarmente positivo. Le società che chiudono il bilancio in utile sono aumentate in maniera significativa passando dall’83,8% all’85%, mentre il grado di patrimonializzazione è salito dal 43,9% al 45,4%. La variazione del Margine operativo lordo (Mol) è stata più contenuta rispetto agli anni precedenti, ma, comunque, ha fatto registrare un +8,9%.</w:t>
      </w:r>
    </w:p>
    <w:p w14:paraId="0086E26C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 xml:space="preserve"> </w:t>
      </w:r>
    </w:p>
    <w:p w14:paraId="51A8F6DD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>Da segnalare un incremento significativo degli oneri finanziari, che, in rapporto al fatturato passano dallo 0,9 all’1,5% e sul Mol passano dall’11,5 al 16,5%. Invece, mentre i debiti totali risultano quasi stazionari, il grado di indebitamento si è ridotto, passando dal 49,6 al 48,5%. Crescono i debiti tributari. In particolare, sono cresciuti del 6,6%, sintesi di una crescita del 4,9% dei debiti tributari entro l’esercizio e del 21% dei debiti tributari oltre l’esercizio.</w:t>
      </w:r>
    </w:p>
    <w:p w14:paraId="5A136DE0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 xml:space="preserve"> </w:t>
      </w:r>
    </w:p>
    <w:p w14:paraId="4661B78D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>Sul piano territoriale, è interessante osservare come nel Sud i ricavi, nel 2023, siano aumentati in misura nettamente superiore alle altre aree del Paese e specialmente al Nord. Nelle aree settentrionali, infatti, la crescita dei ricavi è stata piuttosto contenuta (+1,6% nel Nord-ovest e +2,2% nel Nord-est), mentre nel Centro è stata di poco superiore alla media nazionale (+4,1%) e nel Sud è stata più del doppio di quella nazionale (+8,8%).</w:t>
      </w:r>
    </w:p>
    <w:p w14:paraId="738B1DD1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 xml:space="preserve"> </w:t>
      </w:r>
    </w:p>
    <w:p w14:paraId="3B03C16E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 xml:space="preserve">Altro dato da segnalare riguarda la quota di società in utile. Questa, infatti, tende ad essere più elevata nelle società di media dimensione (91,4% per le società con fatturato tra 5 e 20 milioni di euro e 90,8% per quelle con fatturato tra 20 e 50 milioni di euro), mentre risulta significativamente più bassa per le società più piccole (quelle con fatturato tra 100 mila e 5 milioni di euro sono in utile per l’84,2%). Le società più grandi presentano una percentuale </w:t>
      </w:r>
      <w:r w:rsidRPr="00BF7A37">
        <w:rPr>
          <w:rFonts w:ascii="Arial" w:hAnsi="Arial" w:cs="Arial"/>
        </w:rPr>
        <w:lastRenderedPageBreak/>
        <w:t>più elevata (88,8%) ma, comunque, inferiore a quelle medie. Per contro, il grado di patrimonializzazione tende ad essere più elevato per le società più piccole (48,6% rispetto ad una media generale del 45,4%) che, quindi, presentano il grado di indebitamento più basso (45,3% rispetto alla media generale del 48,5%).</w:t>
      </w:r>
    </w:p>
    <w:p w14:paraId="1A205F06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 xml:space="preserve"> </w:t>
      </w:r>
    </w:p>
    <w:p w14:paraId="66EA1649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>Uno sguardo settoriale mostra dinamiche molto differenziate per quanto riguarda l’andamento dei ricavi. I settori con segno negativo sono quattro: industria estrattiva (-20,4%), energia, acqua e rifiuti (-19,4%), trasporti e logistica (-2,4%) e industria manifatturiera (-0,7%). Tra i settori con segno positivo si distinguono le costruzioni (+21,2%), arte e cultura (+20%), sport (+21,5%), ristoranti e alberghi (+16,9%). Questi andamenti dimostrano che i settori più colpiti dalla crisi covid sono quelli che hanno una fase di recupero più estesa e importante degli altri.</w:t>
      </w:r>
    </w:p>
    <w:p w14:paraId="3D65D5B2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 xml:space="preserve"> </w:t>
      </w:r>
    </w:p>
    <w:p w14:paraId="06C3EC14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>Per quanto riguarda la quota di società in utile, è il settore delle costruzioni a far registrare l’indice più elevato (89,5%) seguito da riparazioni meccaniche e macchinari (88,9%), mentre il settore che ha fatto registrare l’incremento più significativo rispetto all’anno precedente è quello dei ristoranti e alberghi (+6,4%) seguito da attività sportive (+6,2%).</w:t>
      </w:r>
    </w:p>
    <w:p w14:paraId="254469A6" w14:textId="77777777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</w:p>
    <w:p w14:paraId="555C8786" w14:textId="02B05401" w:rsidR="00BF7A37" w:rsidRPr="00BF7A37" w:rsidRDefault="00BF7A37" w:rsidP="00BF7A37">
      <w:pPr>
        <w:spacing w:after="0" w:line="240" w:lineRule="auto"/>
        <w:jc w:val="both"/>
        <w:rPr>
          <w:rFonts w:ascii="Arial" w:hAnsi="Arial" w:cs="Arial"/>
        </w:rPr>
      </w:pPr>
      <w:r w:rsidRPr="00BF7A37">
        <w:rPr>
          <w:rFonts w:ascii="Arial" w:hAnsi="Arial" w:cs="Arial"/>
        </w:rPr>
        <w:t>Il settore con il grado di patrimonializzazione più elevato resta l’immobiliare (65,3%) seguito da lotterie e gioco (53,9%) e ristoranti e alberghi (51,3%), mentre il settore con il grado di indebitamento più elevato è quello delle costruzioni (61,1%).</w:t>
      </w:r>
    </w:p>
    <w:sectPr w:rsidR="00BF7A37" w:rsidRPr="00BF7A3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95FB" w14:textId="77777777" w:rsidR="005C7717" w:rsidRDefault="005C7717" w:rsidP="00385A1B">
      <w:pPr>
        <w:spacing w:after="0" w:line="240" w:lineRule="auto"/>
      </w:pPr>
      <w:r>
        <w:separator/>
      </w:r>
    </w:p>
  </w:endnote>
  <w:endnote w:type="continuationSeparator" w:id="0">
    <w:p w14:paraId="1BF08F94" w14:textId="77777777" w:rsidR="005C7717" w:rsidRDefault="005C7717" w:rsidP="0038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E6FE" w14:textId="77777777" w:rsidR="005C7717" w:rsidRDefault="005C7717" w:rsidP="00385A1B">
      <w:pPr>
        <w:spacing w:after="0" w:line="240" w:lineRule="auto"/>
      </w:pPr>
      <w:r>
        <w:separator/>
      </w:r>
    </w:p>
  </w:footnote>
  <w:footnote w:type="continuationSeparator" w:id="0">
    <w:p w14:paraId="43087AE5" w14:textId="77777777" w:rsidR="005C7717" w:rsidRDefault="005C7717" w:rsidP="0038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2701" w14:textId="5BCBE924" w:rsidR="00385A1B" w:rsidRDefault="00385A1B" w:rsidP="008C4263">
    <w:pPr>
      <w:pStyle w:val="Intestazione"/>
      <w:jc w:val="center"/>
    </w:pPr>
    <w:r>
      <w:rPr>
        <w:noProof/>
      </w:rPr>
      <w:drawing>
        <wp:inline distT="0" distB="0" distL="0" distR="0" wp14:anchorId="5976E260" wp14:editId="40D77057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4263">
      <w:rPr>
        <w:noProof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22"/>
    <w:rsid w:val="00004622"/>
    <w:rsid w:val="00035F97"/>
    <w:rsid w:val="00083D91"/>
    <w:rsid w:val="000A4488"/>
    <w:rsid w:val="000C291A"/>
    <w:rsid w:val="000E61F5"/>
    <w:rsid w:val="0011506B"/>
    <w:rsid w:val="0015567A"/>
    <w:rsid w:val="00170A4E"/>
    <w:rsid w:val="00183217"/>
    <w:rsid w:val="001A308B"/>
    <w:rsid w:val="001B5121"/>
    <w:rsid w:val="001D59FF"/>
    <w:rsid w:val="001E78AE"/>
    <w:rsid w:val="0022280D"/>
    <w:rsid w:val="002B5E5F"/>
    <w:rsid w:val="002F57EE"/>
    <w:rsid w:val="00385A1B"/>
    <w:rsid w:val="0040222A"/>
    <w:rsid w:val="004419AF"/>
    <w:rsid w:val="00462C64"/>
    <w:rsid w:val="004D09DE"/>
    <w:rsid w:val="004F0F17"/>
    <w:rsid w:val="005027EB"/>
    <w:rsid w:val="005532C3"/>
    <w:rsid w:val="00563798"/>
    <w:rsid w:val="00597BC9"/>
    <w:rsid w:val="005A240E"/>
    <w:rsid w:val="005C7717"/>
    <w:rsid w:val="005F224A"/>
    <w:rsid w:val="006200EF"/>
    <w:rsid w:val="00633733"/>
    <w:rsid w:val="00640911"/>
    <w:rsid w:val="0066457F"/>
    <w:rsid w:val="00685414"/>
    <w:rsid w:val="006A5B85"/>
    <w:rsid w:val="00755CA2"/>
    <w:rsid w:val="00782EA2"/>
    <w:rsid w:val="00843E39"/>
    <w:rsid w:val="008472E7"/>
    <w:rsid w:val="00860602"/>
    <w:rsid w:val="00894931"/>
    <w:rsid w:val="008A02DE"/>
    <w:rsid w:val="008B0A2C"/>
    <w:rsid w:val="008B5FB9"/>
    <w:rsid w:val="008C4263"/>
    <w:rsid w:val="00A3421D"/>
    <w:rsid w:val="00A641BB"/>
    <w:rsid w:val="00B03E9B"/>
    <w:rsid w:val="00B111A7"/>
    <w:rsid w:val="00B235B7"/>
    <w:rsid w:val="00B33272"/>
    <w:rsid w:val="00B522DF"/>
    <w:rsid w:val="00BC075B"/>
    <w:rsid w:val="00BF7A37"/>
    <w:rsid w:val="00C108A6"/>
    <w:rsid w:val="00C32544"/>
    <w:rsid w:val="00C826D6"/>
    <w:rsid w:val="00C909E7"/>
    <w:rsid w:val="00C973BC"/>
    <w:rsid w:val="00CA6894"/>
    <w:rsid w:val="00D147F6"/>
    <w:rsid w:val="00D36B1F"/>
    <w:rsid w:val="00D50A46"/>
    <w:rsid w:val="00D54800"/>
    <w:rsid w:val="00D54C7A"/>
    <w:rsid w:val="00DE3792"/>
    <w:rsid w:val="00E43EA8"/>
    <w:rsid w:val="00E83B0F"/>
    <w:rsid w:val="00EA7DA0"/>
    <w:rsid w:val="00EB4A5E"/>
    <w:rsid w:val="00EC44DB"/>
    <w:rsid w:val="00EC55B1"/>
    <w:rsid w:val="00EE0627"/>
    <w:rsid w:val="00EE7331"/>
    <w:rsid w:val="00F23A96"/>
    <w:rsid w:val="00F262DF"/>
    <w:rsid w:val="00F6544B"/>
    <w:rsid w:val="00F905B3"/>
    <w:rsid w:val="00F97935"/>
    <w:rsid w:val="00F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6F4F6"/>
  <w15:chartTrackingRefBased/>
  <w15:docId w15:val="{205D50D8-3748-40D7-936C-3E2397C9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6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6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6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6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6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6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6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6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6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62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5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A1B"/>
  </w:style>
  <w:style w:type="paragraph" w:styleId="Pidipagina">
    <w:name w:val="footer"/>
    <w:basedOn w:val="Normale"/>
    <w:link w:val="PidipaginaCarattere"/>
    <w:uiPriority w:val="99"/>
    <w:unhideWhenUsed/>
    <w:rsid w:val="00385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A1B"/>
  </w:style>
  <w:style w:type="paragraph" w:customStyle="1" w:styleId="Default">
    <w:name w:val="Default"/>
    <w:rsid w:val="00782EA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973BC"/>
    <w:rPr>
      <w:color w:val="467886" w:themeColor="hyperlink"/>
      <w:u w:val="single"/>
    </w:rPr>
  </w:style>
  <w:style w:type="paragraph" w:customStyle="1" w:styleId="Stile">
    <w:name w:val="Stile"/>
    <w:rsid w:val="00C97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it-IT"/>
    </w:rPr>
  </w:style>
  <w:style w:type="paragraph" w:customStyle="1" w:styleId="TipoDocumento">
    <w:name w:val="Tipo Documento"/>
    <w:basedOn w:val="Normale"/>
    <w:qFormat/>
    <w:rsid w:val="00C973BC"/>
    <w:pPr>
      <w:spacing w:after="200" w:line="240" w:lineRule="auto"/>
      <w:jc w:val="both"/>
    </w:pPr>
    <w:rPr>
      <w:rFonts w:eastAsiaTheme="minorEastAsia" w:cs="Times New Roman (Corpo CS)"/>
      <w:b/>
      <w:bCs/>
      <w:caps/>
      <w:color w:val="C00000"/>
      <w:spacing w:val="20"/>
      <w:kern w:val="0"/>
      <w:sz w:val="20"/>
      <w:szCs w:val="21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73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B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B5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16</cp:revision>
  <cp:lastPrinted>2025-07-09T07:31:00Z</cp:lastPrinted>
  <dcterms:created xsi:type="dcterms:W3CDTF">2025-07-14T09:47:00Z</dcterms:created>
  <dcterms:modified xsi:type="dcterms:W3CDTF">2025-08-26T14:34:00Z</dcterms:modified>
</cp:coreProperties>
</file>