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6369" w14:textId="77777777" w:rsidR="00CC4587" w:rsidRPr="00CC4587" w:rsidRDefault="00CC4587" w:rsidP="00CC4587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CC4587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7842EEF6" w14:textId="77777777" w:rsidR="00CC4587" w:rsidRPr="00CC4587" w:rsidRDefault="00CC4587" w:rsidP="00CC4587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359D8C89" w14:textId="77777777" w:rsidR="00CC4587" w:rsidRPr="00CC4587" w:rsidRDefault="00CC4587" w:rsidP="00CC4587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t> 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COMMERCIALISTI, IL CONSIGLIO NAZIONALE DELLA CATEGORIA “PREMIA” LE DONNE</w:t>
      </w:r>
    </w:p>
    <w:p w14:paraId="49621405" w14:textId="77777777" w:rsidR="00CC4587" w:rsidRPr="00CC4587" w:rsidRDefault="00CC4587" w:rsidP="00CC4587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782531FE" w14:textId="77777777" w:rsidR="00CC4587" w:rsidRPr="00CC4587" w:rsidRDefault="00CC4587" w:rsidP="00CC4587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La rappresentanza femminile negli organi nazionali è la più elevata tra le professioni economico-giuridiche ed è la più alta anche rispetto ai primi cinque Ordini territoriali della categoria. I dati forniti dalla Fondazione nazionale di ricerca</w:t>
      </w:r>
    </w:p>
    <w:p w14:paraId="643982BB" w14:textId="77777777" w:rsidR="00CC4587" w:rsidRPr="00CC4587" w:rsidRDefault="00CC4587" w:rsidP="00CC4587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45FBCF64" w14:textId="77777777" w:rsid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i/>
          <w:iCs/>
          <w:color w:val="000000"/>
          <w:sz w:val="23"/>
          <w:szCs w:val="23"/>
        </w:rPr>
        <w:t xml:space="preserve">Roma, 19 giugno 2025 - 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Dal 2008 ad oggi, lungo un arco di 17 anni che ha caratterizzato la vita dell’Albo unico dei dottori e dei ragionieri commercialisti, le donne hanno conquistato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sempre maggiore spazio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nella categoria. Oggi rappresentano il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34%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degli iscritti all’Albo, un incremento importante rispetto al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28%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del 2008, con una tendenza crescente che non sembra destinata a fermarsi e che punta ad allinearsi alla media generale delle libere professioniste italiane pari al 35% (Rapporto Confprofessioni 2024). Sulla base degli ultimi dati reddituali (Rapporto annuale FNC Ricerca), il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gender pay gap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 delle donne commercialiste è pari al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43%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in calo rispetto al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44% del 2008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significativamente più basso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rispetto alla media Adepp di tutte le casse previdenziali dei liberi professionisti che è pari al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47%</w:t>
      </w:r>
      <w:r w:rsidRPr="00CC4587">
        <w:rPr>
          <w:rFonts w:ascii="Arial" w:hAnsi="Arial" w:cs="Arial"/>
          <w:color w:val="000000"/>
          <w:sz w:val="23"/>
          <w:szCs w:val="23"/>
        </w:rPr>
        <w:t>. Sono dati forniti dalla Fondazione nazionale di ricerca della categoria.</w:t>
      </w:r>
    </w:p>
    <w:p w14:paraId="5546973F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684FFB61" w14:textId="77777777" w:rsid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t xml:space="preserve">In questo scenario, il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Cndcec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(Consiglio nazionale dei dottori commercialisti e degli esperti contabili) ha dato ancora maggiore spazio alle donne nella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rappresentanza di categoria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. In particolare, l’attenzione prestata alle donne da parte del Cndcec è oggi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superiore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a quella di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analoghi Ordini professionali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ed è anche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 xml:space="preserve">significativamente più elevata </w:t>
      </w:r>
      <w:r w:rsidRPr="00CC4587">
        <w:rPr>
          <w:rFonts w:ascii="Arial" w:hAnsi="Arial" w:cs="Arial"/>
          <w:color w:val="000000"/>
          <w:sz w:val="23"/>
          <w:szCs w:val="23"/>
        </w:rPr>
        <w:t>rispetto a quella degli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 Ordini territoriali</w:t>
      </w:r>
      <w:r w:rsidRPr="00CC4587">
        <w:rPr>
          <w:rFonts w:ascii="Arial" w:hAnsi="Arial" w:cs="Arial"/>
          <w:color w:val="000000"/>
          <w:sz w:val="23"/>
          <w:szCs w:val="23"/>
        </w:rPr>
        <w:t> più grandi della categoria.</w:t>
      </w:r>
    </w:p>
    <w:p w14:paraId="7EDFA2D0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5F6BA016" w14:textId="77777777" w:rsid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t xml:space="preserve">Pur avendo la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percentuale di donne più bassa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tra gli iscritti all’Albo, il Cndcec ha la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quota di donne più elevata negli organi di categoria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(Consigli nazionali, Collegio dei revisori, società partecipate al 100%, Fondazioni) rispetto alle altre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professioni economico-giuridiche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con uno scarto positivo di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cinque punti percentuali</w:t>
      </w:r>
      <w:r w:rsidRPr="00CC4587">
        <w:rPr>
          <w:rFonts w:ascii="Arial" w:hAnsi="Arial" w:cs="Arial"/>
          <w:color w:val="000000"/>
          <w:sz w:val="23"/>
          <w:szCs w:val="23"/>
        </w:rPr>
        <w:t>.</w:t>
      </w:r>
    </w:p>
    <w:p w14:paraId="1E1E6982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3EE962C1" w14:textId="77777777" w:rsid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t xml:space="preserve">Inoltre, la quota di donne negli organi nazionali della categoria (Consiglio, collegio dei revisori, Comitato pari opportunità, Consiglio di disciplina e Fondazioni) è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più elevata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di quella risultante dagli organi dei primi cinque Ordini territoriali dei commercialisti e cioè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Milano, Roma, Napoli, Torino e Bari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che pure presentano quote molto elevate con scarti tutti positivi con l’unica eccezione dell’ordine di Torino (con uno scarto negativo del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-6,9%</w:t>
      </w:r>
      <w:r w:rsidRPr="00CC4587">
        <w:rPr>
          <w:rFonts w:ascii="Arial" w:hAnsi="Arial" w:cs="Arial"/>
          <w:color w:val="000000"/>
          <w:sz w:val="23"/>
          <w:szCs w:val="23"/>
        </w:rPr>
        <w:t>).</w:t>
      </w:r>
    </w:p>
    <w:p w14:paraId="2EF1FC77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A7E5C22" w14:textId="77777777" w:rsid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t xml:space="preserve">Questo risultato è del tutto nuovo, dal momento che la presenza delle donne negli organi nazionali della categoria dei Commercialisti è cresciuta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esponenzialmente i</w:t>
      </w:r>
      <w:r w:rsidRPr="00CC4587">
        <w:rPr>
          <w:rFonts w:ascii="Arial" w:hAnsi="Arial" w:cs="Arial"/>
          <w:color w:val="000000"/>
          <w:sz w:val="23"/>
          <w:szCs w:val="23"/>
        </w:rPr>
        <w:t>n occasione dell’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 xml:space="preserve">attuale consiliatura, 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andando oltre le novità normative intervenute in materia di parità di genere. Infatti, la quota di donne nel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2021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un anno prima che si insidiasse l’attuale Consiglio nazionale, la presenza delle donne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non superava il 13%</w:t>
      </w:r>
      <w:r w:rsidRPr="00CC4587">
        <w:rPr>
          <w:rFonts w:ascii="Arial" w:hAnsi="Arial" w:cs="Arial"/>
          <w:color w:val="000000"/>
          <w:sz w:val="23"/>
          <w:szCs w:val="23"/>
        </w:rPr>
        <w:t> del totale di tutte le cariche presenti negli organi di vertice comprese le società partecipate al 100% e gli enti controllati.</w:t>
      </w:r>
    </w:p>
    <w:p w14:paraId="0A81CFFB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EBE88F7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t xml:space="preserve">Per il presidente del Consiglio nazionale dei commercialisti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 xml:space="preserve">Elbano de Nuccio 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“questi dati offrono uno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spunto di riflessione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che va ben oltre la semplice contabilità delle percentuali. Questo Consiglio nazionale non si è limitato 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dichiarare principi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ma li ha messi in pratica con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determinazione e coerenza</w:t>
      </w:r>
      <w:r w:rsidRPr="00CC4587">
        <w:rPr>
          <w:rFonts w:ascii="Arial" w:hAnsi="Arial" w:cs="Arial"/>
          <w:color w:val="000000"/>
          <w:sz w:val="23"/>
          <w:szCs w:val="23"/>
        </w:rPr>
        <w:t>, con risultati che non possono essere archiviati sotto la voce “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coincidenze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”. Si tratta, piuttosto, della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dimostrazione concreta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di una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volontà politica precisa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di un impegno che ha saputo tradursi in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scelte operative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. Non si tratta di un maquillage numerico, ma di un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cambio di passo culturale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che è la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migliore risposta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alle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 xml:space="preserve">polemiche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pretestuose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che su questo tema si sono avute in queste settimane all’interno della categoria”. Per de Nuccio, il Consiglio nazionale “non si è limitato a parlare di donne: ha dato loro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spazio reale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ha valorizzato competenze, ha aperto porte che per anni erano rimaste socchiuse. E lo ha fatto in modo trasparente,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senza clamori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ma con un risultato evidente”. “Questo non significa”, aggiunge, “che la strada sia conclusa — il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gender pay gap resta significativo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e in molti territori la parità è ancora un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obiettivo lontano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. Ma il dato nazionale è un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segnale incoraggiante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che dimostra come il cambiamento sia possibile se accompagnato da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volontà, visione e azione</w:t>
      </w:r>
      <w:r w:rsidRPr="00CC4587">
        <w:rPr>
          <w:rFonts w:ascii="Arial" w:hAnsi="Arial" w:cs="Arial"/>
          <w:color w:val="000000"/>
          <w:sz w:val="23"/>
          <w:szCs w:val="23"/>
        </w:rPr>
        <w:t>”.</w:t>
      </w:r>
    </w:p>
    <w:p w14:paraId="7CA14BE8" w14:textId="5E994964" w:rsid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CC4587">
        <w:rPr>
          <w:rFonts w:ascii="Arial" w:hAnsi="Arial" w:cs="Arial"/>
          <w:color w:val="000000"/>
          <w:sz w:val="23"/>
          <w:szCs w:val="23"/>
        </w:rPr>
        <w:br/>
        <w:t xml:space="preserve">“Sarebbe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auspicabile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 che chi oggi si indigna pubblicamente per le disuguaglianze iniziasse a correggerle innanzitutto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nei propri contesti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senza aspettare il prossimo report per “aggiustare il tiro”. La parità di genere non si conquista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con le parole</w:t>
      </w:r>
      <w:r w:rsidRPr="00CC4587">
        <w:rPr>
          <w:rFonts w:ascii="Arial" w:hAnsi="Arial" w:cs="Arial"/>
          <w:color w:val="000000"/>
          <w:sz w:val="23"/>
          <w:szCs w:val="23"/>
        </w:rPr>
        <w:t xml:space="preserve">, ma </w:t>
      </w:r>
      <w:r w:rsidRPr="00CC4587">
        <w:rPr>
          <w:rFonts w:ascii="Arial" w:hAnsi="Arial" w:cs="Arial"/>
          <w:b/>
          <w:bCs/>
          <w:color w:val="000000"/>
          <w:sz w:val="23"/>
          <w:szCs w:val="23"/>
        </w:rPr>
        <w:t>con le scelte</w:t>
      </w:r>
      <w:r w:rsidRPr="00CC4587">
        <w:rPr>
          <w:rFonts w:ascii="Arial" w:hAnsi="Arial" w:cs="Arial"/>
          <w:color w:val="000000"/>
          <w:sz w:val="23"/>
          <w:szCs w:val="23"/>
        </w:rPr>
        <w:t>”, conclude.</w:t>
      </w:r>
    </w:p>
    <w:p w14:paraId="7CC94804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01F0873B" w14:textId="77777777" w:rsidR="00CC4587" w:rsidRPr="00CC4587" w:rsidRDefault="00CC4587" w:rsidP="00CC4587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52E9EF07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  <w:r w:rsidRPr="00CC4587">
        <w:rPr>
          <w:rFonts w:ascii="Arial" w:hAnsi="Arial" w:cs="Arial"/>
          <w:b/>
          <w:bCs/>
          <w:color w:val="000000"/>
          <w:sz w:val="22"/>
          <w:szCs w:val="22"/>
        </w:rPr>
        <w:t>Tabella 1. Quota donne Ordini nazionali economico-giuridico*</w:t>
      </w:r>
    </w:p>
    <w:tbl>
      <w:tblPr>
        <w:tblW w:w="5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360"/>
        <w:gridCol w:w="1320"/>
        <w:gridCol w:w="1080"/>
      </w:tblGrid>
      <w:tr w:rsidR="00CC4587" w:rsidRPr="00CC4587" w14:paraId="099967DE" w14:textId="77777777" w:rsidTr="00CC4587">
        <w:trPr>
          <w:trHeight w:val="300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3C12C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ORDINE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6A8D3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CARICHE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77999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ISCRITTI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0BF58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SCARTO</w:t>
            </w:r>
          </w:p>
        </w:tc>
      </w:tr>
      <w:tr w:rsidR="00CC4587" w:rsidRPr="00CC4587" w14:paraId="45A834A2" w14:textId="77777777" w:rsidTr="00CC4587">
        <w:trPr>
          <w:trHeight w:val="300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25B68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CNDCEC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9819D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E6642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5E67D" w14:textId="77777777" w:rsidR="00CC4587" w:rsidRPr="00CC4587" w:rsidRDefault="00CC4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5%</w:t>
            </w:r>
          </w:p>
        </w:tc>
      </w:tr>
      <w:tr w:rsidR="00CC4587" w:rsidRPr="00CC4587" w14:paraId="2614398D" w14:textId="77777777" w:rsidTr="00CC4587">
        <w:trPr>
          <w:trHeight w:val="300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801EB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CDL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E70C2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89AE5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B038E" w14:textId="77777777" w:rsidR="00CC4587" w:rsidRPr="00CC4587" w:rsidRDefault="00CC4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-12%</w:t>
            </w:r>
          </w:p>
        </w:tc>
      </w:tr>
      <w:tr w:rsidR="00CC4587" w:rsidRPr="00CC4587" w14:paraId="3C982983" w14:textId="77777777" w:rsidTr="00CC4587">
        <w:trPr>
          <w:trHeight w:val="300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09D54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CNF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087D1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730C6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6D939" w14:textId="77777777" w:rsidR="00CC4587" w:rsidRPr="00CC4587" w:rsidRDefault="00CC4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-22%</w:t>
            </w:r>
          </w:p>
        </w:tc>
      </w:tr>
      <w:tr w:rsidR="00CC4587" w:rsidRPr="00CC4587" w14:paraId="64381DA2" w14:textId="77777777" w:rsidTr="00CC4587">
        <w:trPr>
          <w:trHeight w:val="300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D5D35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NOTARIATO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D9332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4AFF2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E9507" w14:textId="77777777" w:rsidR="00CC4587" w:rsidRPr="00CC4587" w:rsidRDefault="00CC458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-21%</w:t>
            </w:r>
          </w:p>
        </w:tc>
      </w:tr>
    </w:tbl>
    <w:p w14:paraId="57D5C5DD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  <w:r w:rsidRPr="00CC4587">
        <w:rPr>
          <w:rFonts w:ascii="Arial" w:hAnsi="Arial" w:cs="Arial"/>
          <w:i/>
          <w:iCs/>
          <w:color w:val="000000"/>
          <w:sz w:val="22"/>
          <w:szCs w:val="22"/>
        </w:rPr>
        <w:t>*Quota di donne presenti negli organismi di governo e di controllo degli enti e delle società partecipate al 100% come risultano dalla sezione "Amministrazione trasparente" dei rispettivi siti web il 17/06/2025. Sono esclusi gli organi monocratici.</w:t>
      </w:r>
    </w:p>
    <w:p w14:paraId="3F148C59" w14:textId="77777777" w:rsidR="00CC4587" w:rsidRDefault="00CC4587" w:rsidP="00CC4587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CC4587">
        <w:rPr>
          <w:rFonts w:ascii="Arial" w:hAnsi="Arial" w:cs="Arial"/>
          <w:i/>
          <w:iCs/>
          <w:color w:val="000000"/>
          <w:sz w:val="22"/>
          <w:szCs w:val="22"/>
        </w:rPr>
        <w:t>NOTA: Per rendere omogeneo il confronto è stato escluso il cpo.</w:t>
      </w:r>
    </w:p>
    <w:p w14:paraId="3F929A75" w14:textId="77777777" w:rsidR="00CC4587" w:rsidRDefault="00CC4587" w:rsidP="00CC4587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196BB80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</w:p>
    <w:p w14:paraId="1258FCBD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  <w:r w:rsidRPr="00CC4587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C4587">
        <w:rPr>
          <w:rFonts w:ascii="Arial" w:hAnsi="Arial" w:cs="Arial"/>
          <w:b/>
          <w:bCs/>
          <w:color w:val="000000"/>
          <w:sz w:val="22"/>
          <w:szCs w:val="22"/>
        </w:rPr>
        <w:t>Tabella 2. Quota donne CNDCEC e primi 5 ODCEC*</w:t>
      </w:r>
    </w:p>
    <w:tbl>
      <w:tblPr>
        <w:tblW w:w="5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360"/>
        <w:gridCol w:w="1320"/>
        <w:gridCol w:w="1141"/>
      </w:tblGrid>
      <w:tr w:rsidR="00CC4587" w:rsidRPr="00CC4587" w14:paraId="5CA11CE7" w14:textId="77777777" w:rsidTr="00CC4587">
        <w:trPr>
          <w:trHeight w:val="30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4A04B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ORDINE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661F2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CARICHE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84EC4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ISCRITTI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2847A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SCARTO</w:t>
            </w:r>
          </w:p>
        </w:tc>
      </w:tr>
      <w:tr w:rsidR="00CC4587" w:rsidRPr="00CC4587" w14:paraId="57951A8A" w14:textId="77777777" w:rsidTr="00CC4587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EA8EE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CNDCEC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3723A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52,6%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1E4A6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34,0%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D9C62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18,6%</w:t>
            </w:r>
          </w:p>
        </w:tc>
      </w:tr>
      <w:tr w:rsidR="00CC4587" w:rsidRPr="00CC4587" w14:paraId="02239736" w14:textId="77777777" w:rsidTr="00CC4587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81027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070D9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52,5%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61603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29,2%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7617B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23,3%</w:t>
            </w:r>
          </w:p>
        </w:tc>
      </w:tr>
      <w:tr w:rsidR="00CC4587" w:rsidRPr="00CC4587" w14:paraId="3217A46A" w14:textId="77777777" w:rsidTr="00CC4587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C98D5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FEF49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45,5%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B8E14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31,4%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63E7A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14,1%</w:t>
            </w:r>
          </w:p>
        </w:tc>
      </w:tr>
      <w:tr w:rsidR="00CC4587" w:rsidRPr="00CC4587" w14:paraId="23C66519" w14:textId="77777777" w:rsidTr="00CC4587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B507F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MILANO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BF7BE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49,2%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C2B89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32,7%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EF5BF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16,5%</w:t>
            </w:r>
          </w:p>
        </w:tc>
      </w:tr>
      <w:tr w:rsidR="00CC4587" w:rsidRPr="00CC4587" w14:paraId="4AA40129" w14:textId="77777777" w:rsidTr="00CC4587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13937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NAPOLI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CB13F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32,1%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8958D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23,5%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E2FFE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8,6%</w:t>
            </w:r>
          </w:p>
        </w:tc>
      </w:tr>
      <w:tr w:rsidR="00CC4587" w:rsidRPr="00CC4587" w14:paraId="1156B1CE" w14:textId="77777777" w:rsidTr="00CC4587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D4C3A" w14:textId="77777777" w:rsidR="00CC4587" w:rsidRPr="00CC4587" w:rsidRDefault="00CC45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TORINO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207BE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36,2%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FC01E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43,1%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A0C4C" w14:textId="77777777" w:rsidR="00CC4587" w:rsidRPr="00CC4587" w:rsidRDefault="00CC45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/>
                <w:sz w:val="22"/>
                <w:szCs w:val="22"/>
              </w:rPr>
              <w:t>-6,9%</w:t>
            </w:r>
          </w:p>
        </w:tc>
      </w:tr>
    </w:tbl>
    <w:p w14:paraId="45EFD86B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  <w:r w:rsidRPr="00CC4587">
        <w:rPr>
          <w:rFonts w:ascii="Arial" w:hAnsi="Arial" w:cs="Arial"/>
          <w:i/>
          <w:iCs/>
          <w:color w:val="000000"/>
          <w:sz w:val="22"/>
          <w:szCs w:val="22"/>
        </w:rPr>
        <w:t>*Quota di donne presenti negli organismi di categoria (consigli, revisori, Cpo, disciplina e fondazioni).</w:t>
      </w:r>
    </w:p>
    <w:p w14:paraId="1D4E5DA2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  <w:r w:rsidRPr="00CC4587">
        <w:rPr>
          <w:rFonts w:ascii="Arial" w:hAnsi="Arial" w:cs="Arial"/>
          <w:i/>
          <w:iCs/>
          <w:color w:val="000000"/>
          <w:sz w:val="22"/>
          <w:szCs w:val="22"/>
        </w:rPr>
        <w:t>NOTA: Per rendere omogeneo il confronto non sono state considerate le società partecipate.</w:t>
      </w:r>
    </w:p>
    <w:p w14:paraId="626AE4BE" w14:textId="77777777" w:rsidR="00CC4587" w:rsidRPr="00CC4587" w:rsidRDefault="00CC4587" w:rsidP="00CC4587">
      <w:pPr>
        <w:rPr>
          <w:rFonts w:ascii="Arial" w:hAnsi="Arial" w:cs="Arial"/>
          <w:color w:val="000000"/>
          <w:sz w:val="22"/>
          <w:szCs w:val="22"/>
        </w:rPr>
      </w:pPr>
    </w:p>
    <w:p w14:paraId="509149B0" w14:textId="05779799" w:rsidR="0018228F" w:rsidRPr="00CC4587" w:rsidRDefault="0018228F" w:rsidP="00CC4587">
      <w:pPr>
        <w:rPr>
          <w:rFonts w:ascii="Arial" w:hAnsi="Arial" w:cs="Arial"/>
          <w:sz w:val="23"/>
          <w:szCs w:val="23"/>
        </w:rPr>
      </w:pPr>
    </w:p>
    <w:sectPr w:rsidR="0018228F" w:rsidRPr="00CC458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77AA" w14:textId="77777777" w:rsidR="00D604C4" w:rsidRDefault="00D604C4" w:rsidP="008A20F9">
      <w:r>
        <w:separator/>
      </w:r>
    </w:p>
  </w:endnote>
  <w:endnote w:type="continuationSeparator" w:id="0">
    <w:p w14:paraId="4EADA95C" w14:textId="77777777" w:rsidR="00D604C4" w:rsidRDefault="00D604C4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E508" w14:textId="77777777" w:rsidR="00D604C4" w:rsidRDefault="00D604C4" w:rsidP="008A20F9">
      <w:r>
        <w:separator/>
      </w:r>
    </w:p>
  </w:footnote>
  <w:footnote w:type="continuationSeparator" w:id="0">
    <w:p w14:paraId="11D8B91A" w14:textId="77777777" w:rsidR="00D604C4" w:rsidRDefault="00D604C4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02475"/>
    <w:rsid w:val="001322E2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A3B3F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1257C"/>
    <w:rsid w:val="00524B93"/>
    <w:rsid w:val="00543953"/>
    <w:rsid w:val="00582A23"/>
    <w:rsid w:val="005E320A"/>
    <w:rsid w:val="006110FD"/>
    <w:rsid w:val="0062115D"/>
    <w:rsid w:val="00633669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64AB1"/>
    <w:rsid w:val="00971DE9"/>
    <w:rsid w:val="009D397A"/>
    <w:rsid w:val="009E7612"/>
    <w:rsid w:val="009F1BED"/>
    <w:rsid w:val="009F4D5C"/>
    <w:rsid w:val="00A12D0E"/>
    <w:rsid w:val="00A238EC"/>
    <w:rsid w:val="00A24A06"/>
    <w:rsid w:val="00A25E53"/>
    <w:rsid w:val="00A26B9D"/>
    <w:rsid w:val="00A26FA0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25A9"/>
    <w:rsid w:val="00C13394"/>
    <w:rsid w:val="00C51CDA"/>
    <w:rsid w:val="00C56162"/>
    <w:rsid w:val="00C72751"/>
    <w:rsid w:val="00C95404"/>
    <w:rsid w:val="00CA7F23"/>
    <w:rsid w:val="00CC4587"/>
    <w:rsid w:val="00CD0452"/>
    <w:rsid w:val="00CE38C2"/>
    <w:rsid w:val="00D40E0C"/>
    <w:rsid w:val="00D41394"/>
    <w:rsid w:val="00D52088"/>
    <w:rsid w:val="00D604C4"/>
    <w:rsid w:val="00DD3A41"/>
    <w:rsid w:val="00E03798"/>
    <w:rsid w:val="00E26BE2"/>
    <w:rsid w:val="00E34BB0"/>
    <w:rsid w:val="00E646A4"/>
    <w:rsid w:val="00E8677B"/>
    <w:rsid w:val="00EA79CF"/>
    <w:rsid w:val="00EC353A"/>
    <w:rsid w:val="00EC4F49"/>
    <w:rsid w:val="00ED27C6"/>
    <w:rsid w:val="00EE7C05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2025-07-02T14:55:00Z</dcterms:created>
  <dcterms:modified xsi:type="dcterms:W3CDTF">2025-07-02T15:00:00Z</dcterms:modified>
</cp:coreProperties>
</file>