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634A5" w14:textId="77777777" w:rsidR="00CD0452" w:rsidRPr="00CD0452" w:rsidRDefault="00CD0452" w:rsidP="00CD0452">
      <w:pPr>
        <w:jc w:val="center"/>
        <w:rPr>
          <w:rFonts w:ascii="Arial" w:hAnsi="Arial" w:cs="Arial"/>
          <w:b/>
          <w:bCs/>
          <w:u w:val="single"/>
        </w:rPr>
      </w:pPr>
      <w:r w:rsidRPr="00CD0452">
        <w:rPr>
          <w:rFonts w:ascii="Arial" w:hAnsi="Arial" w:cs="Arial"/>
          <w:b/>
          <w:bCs/>
          <w:u w:val="single"/>
        </w:rPr>
        <w:t>Comunicato stampa</w:t>
      </w:r>
    </w:p>
    <w:p w14:paraId="103E92AF" w14:textId="77777777" w:rsidR="00CD0452" w:rsidRPr="00CD0452" w:rsidRDefault="00CD0452" w:rsidP="00CD0452">
      <w:pPr>
        <w:jc w:val="center"/>
        <w:rPr>
          <w:rFonts w:ascii="Arial" w:hAnsi="Arial" w:cs="Arial"/>
          <w:b/>
          <w:bCs/>
        </w:rPr>
      </w:pPr>
    </w:p>
    <w:p w14:paraId="4B8DF70D" w14:textId="77777777" w:rsidR="00CD0452" w:rsidRPr="00CD0452" w:rsidRDefault="00CD0452" w:rsidP="00CD0452">
      <w:pPr>
        <w:jc w:val="center"/>
        <w:rPr>
          <w:rFonts w:ascii="Arial" w:hAnsi="Arial" w:cs="Arial"/>
          <w:b/>
          <w:bCs/>
        </w:rPr>
      </w:pPr>
      <w:r w:rsidRPr="00CD0452">
        <w:rPr>
          <w:rFonts w:ascii="Arial" w:hAnsi="Arial" w:cs="Arial"/>
          <w:b/>
          <w:bCs/>
        </w:rPr>
        <w:t>SINDACI E REVISORI, FOCUS SU NOMINA DEL TRIBUNALE E INCARICHI NELLE S.R.L.</w:t>
      </w:r>
    </w:p>
    <w:p w14:paraId="204B7F66" w14:textId="77777777" w:rsidR="00CD0452" w:rsidRPr="00CD0452" w:rsidRDefault="00CD0452" w:rsidP="00CD0452">
      <w:pPr>
        <w:jc w:val="center"/>
        <w:rPr>
          <w:rFonts w:ascii="Arial" w:hAnsi="Arial" w:cs="Arial"/>
          <w:b/>
          <w:bCs/>
        </w:rPr>
      </w:pPr>
    </w:p>
    <w:p w14:paraId="0B631F16" w14:textId="77777777" w:rsidR="00CD0452" w:rsidRPr="00CD0452" w:rsidRDefault="00CD0452" w:rsidP="00CD0452">
      <w:pPr>
        <w:jc w:val="center"/>
        <w:rPr>
          <w:rFonts w:ascii="Arial" w:hAnsi="Arial" w:cs="Arial"/>
          <w:b/>
          <w:bCs/>
        </w:rPr>
      </w:pPr>
      <w:r w:rsidRPr="00CD0452">
        <w:rPr>
          <w:rFonts w:ascii="Arial" w:hAnsi="Arial" w:cs="Arial"/>
          <w:b/>
          <w:bCs/>
        </w:rPr>
        <w:t>Documento di Consiglio e Fondazione Nazionali dei Commercialisti. Ancora controversa l’applicazione dell’art. 2477 c.c.</w:t>
      </w:r>
    </w:p>
    <w:p w14:paraId="74AC36DA" w14:textId="77777777" w:rsidR="00CD0452" w:rsidRPr="00CD0452" w:rsidRDefault="00CD0452" w:rsidP="00CD0452">
      <w:pPr>
        <w:jc w:val="both"/>
        <w:rPr>
          <w:rFonts w:ascii="Arial" w:hAnsi="Arial" w:cs="Arial"/>
          <w:b/>
          <w:bCs/>
        </w:rPr>
      </w:pPr>
    </w:p>
    <w:p w14:paraId="0DC13B51" w14:textId="642E32D0" w:rsidR="00CD0452" w:rsidRPr="00CD0452" w:rsidRDefault="00CD0452" w:rsidP="00CD0452">
      <w:pPr>
        <w:jc w:val="both"/>
        <w:rPr>
          <w:rFonts w:ascii="Arial" w:hAnsi="Arial" w:cs="Arial"/>
        </w:rPr>
      </w:pPr>
      <w:r w:rsidRPr="00CD0452">
        <w:rPr>
          <w:rFonts w:ascii="Arial" w:hAnsi="Arial" w:cs="Arial"/>
          <w:i/>
          <w:iCs/>
        </w:rPr>
        <w:t>Roma, 17 giugno 2025</w:t>
      </w:r>
      <w:r w:rsidRPr="00CD0452">
        <w:rPr>
          <w:rFonts w:ascii="Arial" w:hAnsi="Arial" w:cs="Arial"/>
          <w:b/>
          <w:bCs/>
        </w:rPr>
        <w:t xml:space="preserve"> </w:t>
      </w:r>
      <w:r w:rsidRPr="00CD0452">
        <w:rPr>
          <w:rFonts w:ascii="Arial" w:hAnsi="Arial" w:cs="Arial"/>
        </w:rPr>
        <w:t>– “Sindaci e revisori legali: la nomina del tribunale e la disciplina degli incarichi nelle S.R.L.” è il titolo del documento pubblicato da Consiglio e Fondazione nazionali dei commercialisti. Il lavoro rientra tra le attività dell’area “Sistemi di controllo e revisione legale (</w:t>
      </w:r>
      <w:proofErr w:type="spellStart"/>
      <w:r w:rsidRPr="00CD0452">
        <w:rPr>
          <w:rFonts w:ascii="Arial" w:hAnsi="Arial" w:cs="Arial"/>
        </w:rPr>
        <w:t>financial</w:t>
      </w:r>
      <w:proofErr w:type="spellEnd"/>
      <w:r w:rsidRPr="00CD0452">
        <w:rPr>
          <w:rFonts w:ascii="Arial" w:hAnsi="Arial" w:cs="Arial"/>
        </w:rPr>
        <w:t xml:space="preserve"> e non </w:t>
      </w:r>
      <w:proofErr w:type="spellStart"/>
      <w:r w:rsidRPr="00CD0452">
        <w:rPr>
          <w:rFonts w:ascii="Arial" w:hAnsi="Arial" w:cs="Arial"/>
        </w:rPr>
        <w:t>financial</w:t>
      </w:r>
      <w:proofErr w:type="spellEnd"/>
      <w:r w:rsidRPr="00CD0452">
        <w:rPr>
          <w:rFonts w:ascii="Arial" w:hAnsi="Arial" w:cs="Arial"/>
        </w:rPr>
        <w:t>)</w:t>
      </w:r>
      <w:r w:rsidR="0051257C">
        <w:rPr>
          <w:rFonts w:ascii="Arial" w:hAnsi="Arial" w:cs="Arial"/>
        </w:rPr>
        <w:t>”</w:t>
      </w:r>
      <w:r w:rsidRPr="00CD0452">
        <w:rPr>
          <w:rFonts w:ascii="Arial" w:hAnsi="Arial" w:cs="Arial"/>
        </w:rPr>
        <w:t xml:space="preserve"> a cui sono delegati i Consiglieri nazionali Gian Luca Ancarani e Maurizio Masini.</w:t>
      </w:r>
    </w:p>
    <w:p w14:paraId="490D381D" w14:textId="77777777" w:rsidR="00CD0452" w:rsidRPr="00CD0452" w:rsidRDefault="00CD0452" w:rsidP="00CD0452">
      <w:pPr>
        <w:jc w:val="both"/>
        <w:rPr>
          <w:rFonts w:ascii="Arial" w:hAnsi="Arial" w:cs="Arial"/>
        </w:rPr>
      </w:pPr>
    </w:p>
    <w:p w14:paraId="1B2E9863" w14:textId="77777777" w:rsidR="00CD0452" w:rsidRPr="00CD0452" w:rsidRDefault="00CD0452" w:rsidP="00CD0452">
      <w:pPr>
        <w:jc w:val="both"/>
        <w:rPr>
          <w:rFonts w:ascii="Arial" w:hAnsi="Arial" w:cs="Arial"/>
        </w:rPr>
      </w:pPr>
      <w:r w:rsidRPr="00CD0452">
        <w:rPr>
          <w:rFonts w:ascii="Arial" w:hAnsi="Arial" w:cs="Arial"/>
        </w:rPr>
        <w:t>Nella premessa, si sottolinea come l’approvazione del bilancio relativo all’esercizio 2024 rappresenta per alcune s.r.l. e società cooperative s.r.l. il momento in cui provvedere alla nomina dell’organo di controllo o di un revisore legale. Nella stessa occasione, alcune s.r.l. e alcune cooperative s.r.l. provvederanno ad approvare il bilancio relativo all’esercizio 2024 a cui dovrà essere allegata la relazione di un sindaco unico-revisore legale nominato a fine 2024 o nel 2025 dal tribunale su segnalazione del conservatore del registro delle imprese, ai sensi di quanto disposto dall’art. 2477, comma 5, c.c.</w:t>
      </w:r>
    </w:p>
    <w:p w14:paraId="6598DE5C" w14:textId="77777777" w:rsidR="00CD0452" w:rsidRPr="00CD0452" w:rsidRDefault="00CD0452" w:rsidP="00CD0452">
      <w:pPr>
        <w:jc w:val="both"/>
        <w:rPr>
          <w:rFonts w:ascii="Arial" w:hAnsi="Arial" w:cs="Arial"/>
        </w:rPr>
      </w:pPr>
    </w:p>
    <w:p w14:paraId="34976BCE" w14:textId="77777777" w:rsidR="00CD0452" w:rsidRPr="00CD0452" w:rsidRDefault="00CD0452" w:rsidP="00CD0452">
      <w:pPr>
        <w:jc w:val="both"/>
        <w:rPr>
          <w:rFonts w:ascii="Arial" w:hAnsi="Arial" w:cs="Arial"/>
        </w:rPr>
      </w:pPr>
      <w:r w:rsidRPr="00CD0452">
        <w:rPr>
          <w:rFonts w:ascii="Arial" w:hAnsi="Arial" w:cs="Arial"/>
        </w:rPr>
        <w:t>Entrato definitivamente in vigore il Codice della crisi e trascorso il regime transitorio previsto nell’art. 379 entro cui le società dovevano provvedere in autonomia alla nomina dell’organo di controllo e/o del revisore legale, la disciplina inerente al sistema di controllo della s.r.l. è scolpita nell’art. 2477 c.c. il quale, al fine di rendere effettiva l’applicazione dell’obbligo di dotarsi di un organo di controllo interno – anche monocratico, il c.d. sindaco unico – e/o di un revisore legale esterno (persona fisica o società), ha previsto un particolare procedimento che ha quale esito la nomina del tribunale in sostituzione di quella assembleare nei casi in cui la società non si sia attivata.</w:t>
      </w:r>
    </w:p>
    <w:p w14:paraId="300F8565" w14:textId="77777777" w:rsidR="00CD0452" w:rsidRPr="00CD0452" w:rsidRDefault="00CD0452" w:rsidP="00CD0452">
      <w:pPr>
        <w:jc w:val="both"/>
        <w:rPr>
          <w:rFonts w:ascii="Arial" w:hAnsi="Arial" w:cs="Arial"/>
        </w:rPr>
      </w:pPr>
    </w:p>
    <w:p w14:paraId="5E7D3913" w14:textId="77777777" w:rsidR="00CD0452" w:rsidRPr="00CD0452" w:rsidRDefault="00CD0452" w:rsidP="00CD0452">
      <w:pPr>
        <w:jc w:val="both"/>
        <w:rPr>
          <w:rFonts w:ascii="Arial" w:hAnsi="Arial" w:cs="Arial"/>
        </w:rPr>
      </w:pPr>
      <w:r w:rsidRPr="00CD0452">
        <w:rPr>
          <w:rFonts w:ascii="Arial" w:hAnsi="Arial" w:cs="Arial"/>
        </w:rPr>
        <w:t>Con le prime nomine da parte del tribunale, alcune criticità connesse al sistema dei controlli obbligatori nelle s.r.l. sono riemerse e con esse sono sorti dubbi circa l’attività dell’organo di controllo e/o del revisore legale incaricati dal tribunale, anche in ragione del periodo di nomina. Su tali aspetti il documento prova a fornire alcuni chiarimenti, soffermandosi sia sulla fase dell’accettazione dell’incarico, sia sullo svolgimento dell’incarico una volta accettato, sia sul contenuto delle relazioni al bilancio d’esercizio 2024.</w:t>
      </w:r>
    </w:p>
    <w:p w14:paraId="509149B0" w14:textId="05779799" w:rsidR="0018228F" w:rsidRPr="00CD0452" w:rsidRDefault="0018228F" w:rsidP="00CD0452">
      <w:pPr>
        <w:jc w:val="both"/>
      </w:pPr>
    </w:p>
    <w:sectPr w:rsidR="0018228F" w:rsidRPr="00CD0452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58B316" w14:textId="77777777" w:rsidR="00633669" w:rsidRDefault="00633669" w:rsidP="008A20F9">
      <w:r>
        <w:separator/>
      </w:r>
    </w:p>
  </w:endnote>
  <w:endnote w:type="continuationSeparator" w:id="0">
    <w:p w14:paraId="55AA77B3" w14:textId="77777777" w:rsidR="00633669" w:rsidRDefault="00633669" w:rsidP="008A20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inherit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A933B4" w14:textId="77777777" w:rsidR="00633669" w:rsidRDefault="00633669" w:rsidP="008A20F9">
      <w:r>
        <w:separator/>
      </w:r>
    </w:p>
  </w:footnote>
  <w:footnote w:type="continuationSeparator" w:id="0">
    <w:p w14:paraId="6B4887A6" w14:textId="77777777" w:rsidR="00633669" w:rsidRDefault="00633669" w:rsidP="008A20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532D2" w14:textId="144918DF" w:rsidR="001322E2" w:rsidRDefault="001322E2" w:rsidP="001322E2">
    <w:pPr>
      <w:pStyle w:val="Intestazione"/>
      <w:jc w:val="center"/>
      <w:rPr>
        <w:noProof/>
      </w:rPr>
    </w:pPr>
    <w:r>
      <w:rPr>
        <w:noProof/>
      </w:rPr>
      <w:drawing>
        <wp:inline distT="0" distB="0" distL="0" distR="0" wp14:anchorId="49910EC4" wp14:editId="534BDEE1">
          <wp:extent cx="2183130" cy="741045"/>
          <wp:effectExtent l="0" t="0" r="0" b="1905"/>
          <wp:docPr id="1821521868" name="Immagine 1" descr="Immagine che contiene Elementi grafici, arte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1521868" name="Immagine 1" descr="Immagine che contiene Elementi grafici, arte&#10;&#10;Descrizione generata automa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3130" cy="741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E717BB2" w14:textId="77777777" w:rsidR="001322E2" w:rsidRDefault="001322E2" w:rsidP="001322E2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F21D515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3F36B12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A9799A5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EE64724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F3B57D5"/>
    <w:multiLevelType w:val="hybridMultilevel"/>
    <w:tmpl w:val="5C92A8B4"/>
    <w:lvl w:ilvl="0" w:tplc="A68CE26E">
      <w:numFmt w:val="bullet"/>
      <w:lvlText w:val="-"/>
      <w:lvlJc w:val="left"/>
      <w:pPr>
        <w:ind w:left="450" w:hanging="360"/>
      </w:pPr>
      <w:rPr>
        <w:rFonts w:ascii="inherit" w:eastAsia="Times New Roman" w:hAnsi="inherit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5" w15:restartNumberingAfterBreak="0">
    <w:nsid w:val="37DE18D3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631981567">
    <w:abstractNumId w:val="4"/>
  </w:num>
  <w:num w:numId="2" w16cid:durableId="602764990">
    <w:abstractNumId w:val="0"/>
  </w:num>
  <w:num w:numId="3" w16cid:durableId="1000501617">
    <w:abstractNumId w:val="1"/>
  </w:num>
  <w:num w:numId="4" w16cid:durableId="1178426182">
    <w:abstractNumId w:val="2"/>
  </w:num>
  <w:num w:numId="5" w16cid:durableId="23793651">
    <w:abstractNumId w:val="5"/>
  </w:num>
  <w:num w:numId="6" w16cid:durableId="1144464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9F9"/>
    <w:rsid w:val="00031211"/>
    <w:rsid w:val="00057ECC"/>
    <w:rsid w:val="00094814"/>
    <w:rsid w:val="000C77CE"/>
    <w:rsid w:val="00102475"/>
    <w:rsid w:val="001322E2"/>
    <w:rsid w:val="0018228F"/>
    <w:rsid w:val="001A5B2B"/>
    <w:rsid w:val="001D0398"/>
    <w:rsid w:val="001D4C69"/>
    <w:rsid w:val="0020447F"/>
    <w:rsid w:val="002330A2"/>
    <w:rsid w:val="0024263F"/>
    <w:rsid w:val="00246292"/>
    <w:rsid w:val="00263457"/>
    <w:rsid w:val="002723B1"/>
    <w:rsid w:val="00274382"/>
    <w:rsid w:val="00275AC0"/>
    <w:rsid w:val="002957A8"/>
    <w:rsid w:val="002A3B3F"/>
    <w:rsid w:val="002D153D"/>
    <w:rsid w:val="002E445A"/>
    <w:rsid w:val="002F28B2"/>
    <w:rsid w:val="00301A37"/>
    <w:rsid w:val="00312B18"/>
    <w:rsid w:val="00336F75"/>
    <w:rsid w:val="00346C92"/>
    <w:rsid w:val="003507E0"/>
    <w:rsid w:val="003566C8"/>
    <w:rsid w:val="00396974"/>
    <w:rsid w:val="003B7FE9"/>
    <w:rsid w:val="003C4E2B"/>
    <w:rsid w:val="003D52A1"/>
    <w:rsid w:val="004211FD"/>
    <w:rsid w:val="00423A7B"/>
    <w:rsid w:val="00431A4E"/>
    <w:rsid w:val="004547E1"/>
    <w:rsid w:val="004629E1"/>
    <w:rsid w:val="004A52D9"/>
    <w:rsid w:val="004B1D33"/>
    <w:rsid w:val="004B7FDF"/>
    <w:rsid w:val="004C60D3"/>
    <w:rsid w:val="004D7A70"/>
    <w:rsid w:val="004F5A82"/>
    <w:rsid w:val="005012D7"/>
    <w:rsid w:val="005043FB"/>
    <w:rsid w:val="00505E0A"/>
    <w:rsid w:val="0051257C"/>
    <w:rsid w:val="00524B93"/>
    <w:rsid w:val="00543953"/>
    <w:rsid w:val="00582A23"/>
    <w:rsid w:val="005E320A"/>
    <w:rsid w:val="006110FD"/>
    <w:rsid w:val="0062115D"/>
    <w:rsid w:val="00633669"/>
    <w:rsid w:val="006359F9"/>
    <w:rsid w:val="00635F53"/>
    <w:rsid w:val="00636CE6"/>
    <w:rsid w:val="00642003"/>
    <w:rsid w:val="00663ECE"/>
    <w:rsid w:val="006A2684"/>
    <w:rsid w:val="006B62A7"/>
    <w:rsid w:val="006D222D"/>
    <w:rsid w:val="006F75D8"/>
    <w:rsid w:val="00732B28"/>
    <w:rsid w:val="00754333"/>
    <w:rsid w:val="00764982"/>
    <w:rsid w:val="0078700B"/>
    <w:rsid w:val="007F2042"/>
    <w:rsid w:val="008511D0"/>
    <w:rsid w:val="00864A65"/>
    <w:rsid w:val="00895C49"/>
    <w:rsid w:val="008A20F9"/>
    <w:rsid w:val="008A3007"/>
    <w:rsid w:val="008B4082"/>
    <w:rsid w:val="008D15CD"/>
    <w:rsid w:val="0090611A"/>
    <w:rsid w:val="009079FD"/>
    <w:rsid w:val="00911316"/>
    <w:rsid w:val="00924285"/>
    <w:rsid w:val="00935A37"/>
    <w:rsid w:val="00964AB1"/>
    <w:rsid w:val="00971DE9"/>
    <w:rsid w:val="009D397A"/>
    <w:rsid w:val="009E7612"/>
    <w:rsid w:val="009F1BED"/>
    <w:rsid w:val="009F4D5C"/>
    <w:rsid w:val="00A12D0E"/>
    <w:rsid w:val="00A238EC"/>
    <w:rsid w:val="00A24A06"/>
    <w:rsid w:val="00A25E53"/>
    <w:rsid w:val="00A26B9D"/>
    <w:rsid w:val="00A26FA0"/>
    <w:rsid w:val="00A456AF"/>
    <w:rsid w:val="00A52B3D"/>
    <w:rsid w:val="00AD683B"/>
    <w:rsid w:val="00B1708E"/>
    <w:rsid w:val="00B71001"/>
    <w:rsid w:val="00B733BE"/>
    <w:rsid w:val="00B9791C"/>
    <w:rsid w:val="00BA0EF7"/>
    <w:rsid w:val="00BB5C41"/>
    <w:rsid w:val="00BD45E2"/>
    <w:rsid w:val="00BF0F6C"/>
    <w:rsid w:val="00BF7B31"/>
    <w:rsid w:val="00C125A9"/>
    <w:rsid w:val="00C13394"/>
    <w:rsid w:val="00C51CDA"/>
    <w:rsid w:val="00C56162"/>
    <w:rsid w:val="00C72751"/>
    <w:rsid w:val="00C95404"/>
    <w:rsid w:val="00CA7F23"/>
    <w:rsid w:val="00CD0452"/>
    <w:rsid w:val="00CE38C2"/>
    <w:rsid w:val="00D40E0C"/>
    <w:rsid w:val="00D41394"/>
    <w:rsid w:val="00D52088"/>
    <w:rsid w:val="00DD3A41"/>
    <w:rsid w:val="00E03798"/>
    <w:rsid w:val="00E26BE2"/>
    <w:rsid w:val="00E34BB0"/>
    <w:rsid w:val="00E646A4"/>
    <w:rsid w:val="00E8677B"/>
    <w:rsid w:val="00EA79CF"/>
    <w:rsid w:val="00EC353A"/>
    <w:rsid w:val="00EC4F49"/>
    <w:rsid w:val="00ED27C6"/>
    <w:rsid w:val="00EE7C05"/>
    <w:rsid w:val="00F010A2"/>
    <w:rsid w:val="00F01297"/>
    <w:rsid w:val="00F17684"/>
    <w:rsid w:val="00F4277A"/>
    <w:rsid w:val="00F50C9B"/>
    <w:rsid w:val="00F61475"/>
    <w:rsid w:val="00F72001"/>
    <w:rsid w:val="00F94166"/>
    <w:rsid w:val="00FD2478"/>
    <w:rsid w:val="00FD6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6EAA4"/>
  <w15:chartTrackingRefBased/>
  <w15:docId w15:val="{736153C9-E62D-42C8-85B8-9DF4C5388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02475"/>
    <w:pPr>
      <w:spacing w:after="0" w:line="240" w:lineRule="auto"/>
    </w:pPr>
    <w:rPr>
      <w:rFonts w:ascii="Aptos" w:hAnsi="Aptos" w:cs="Aptos"/>
      <w:kern w:val="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359F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359F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359F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359F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359F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359F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359F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359F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359F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359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359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359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359F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359F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359F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359F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359F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359F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359F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6359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359F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359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359F9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359F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359F9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6359F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359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359F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359F9"/>
    <w:rPr>
      <w:b/>
      <w:bCs/>
      <w:smallCaps/>
      <w:color w:val="0F4761" w:themeColor="accent1" w:themeShade="BF"/>
      <w:spacing w:val="5"/>
    </w:rPr>
  </w:style>
  <w:style w:type="character" w:styleId="Enfasigrassetto">
    <w:name w:val="Strong"/>
    <w:basedOn w:val="Carpredefinitoparagrafo"/>
    <w:uiPriority w:val="22"/>
    <w:qFormat/>
    <w:rsid w:val="00EC353A"/>
    <w:rPr>
      <w:b/>
      <w:bCs/>
    </w:rPr>
  </w:style>
  <w:style w:type="character" w:styleId="Enfasicorsivo">
    <w:name w:val="Emphasis"/>
    <w:basedOn w:val="Carpredefinitoparagrafo"/>
    <w:uiPriority w:val="20"/>
    <w:qFormat/>
    <w:rsid w:val="00EC353A"/>
    <w:rPr>
      <w:i/>
      <w:iCs/>
    </w:rPr>
  </w:style>
  <w:style w:type="paragraph" w:styleId="NormaleWeb">
    <w:name w:val="Normal (Web)"/>
    <w:basedOn w:val="Normale"/>
    <w:uiPriority w:val="99"/>
    <w:unhideWhenUsed/>
    <w:rsid w:val="00EC353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Intestazione">
    <w:name w:val="header"/>
    <w:basedOn w:val="Normale"/>
    <w:link w:val="IntestazioneCarattere"/>
    <w:uiPriority w:val="99"/>
    <w:unhideWhenUsed/>
    <w:rsid w:val="008A20F9"/>
    <w:pPr>
      <w:tabs>
        <w:tab w:val="center" w:pos="4819"/>
        <w:tab w:val="right" w:pos="9638"/>
      </w:tabs>
    </w:pPr>
    <w:rPr>
      <w:rFonts w:asciiTheme="minorHAnsi" w:hAnsiTheme="minorHAnsi" w:cstheme="minorBidi"/>
      <w:kern w:val="2"/>
      <w:lang w:eastAsia="en-US"/>
      <w14:ligatures w14:val="standardContextual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A20F9"/>
  </w:style>
  <w:style w:type="paragraph" w:styleId="Pidipagina">
    <w:name w:val="footer"/>
    <w:basedOn w:val="Normale"/>
    <w:link w:val="PidipaginaCarattere"/>
    <w:uiPriority w:val="99"/>
    <w:unhideWhenUsed/>
    <w:rsid w:val="008A20F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A20F9"/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8B40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8B4082"/>
    <w:rPr>
      <w:rFonts w:ascii="Courier New" w:eastAsia="Times New Roman" w:hAnsi="Courier New" w:cs="Courier New"/>
      <w:kern w:val="0"/>
      <w:sz w:val="20"/>
      <w:szCs w:val="20"/>
      <w:lang w:eastAsia="it-IT"/>
      <w14:ligatures w14:val="none"/>
    </w:rPr>
  </w:style>
  <w:style w:type="character" w:customStyle="1" w:styleId="y2iqfc">
    <w:name w:val="y2iqfc"/>
    <w:basedOn w:val="Carpredefinitoparagrafo"/>
    <w:rsid w:val="008B4082"/>
  </w:style>
  <w:style w:type="paragraph" w:customStyle="1" w:styleId="Default">
    <w:name w:val="Default"/>
    <w:rsid w:val="003D52A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  <w:style w:type="table" w:styleId="Grigliatabella">
    <w:name w:val="Table Grid"/>
    <w:basedOn w:val="Tabellanormale"/>
    <w:uiPriority w:val="39"/>
    <w:rsid w:val="008A3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BB5C41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B5C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B6E958-2D24-41A9-9F94-FAEC29EBD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Mastrogiacomo Tiziana</cp:lastModifiedBy>
  <cp:revision>4</cp:revision>
  <dcterms:created xsi:type="dcterms:W3CDTF">2025-07-02T14:55:00Z</dcterms:created>
  <dcterms:modified xsi:type="dcterms:W3CDTF">2025-07-02T14:58:00Z</dcterms:modified>
</cp:coreProperties>
</file>