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0C607C" w:rsidRDefault="00505E0A" w:rsidP="0052455C">
      <w:pPr>
        <w:jc w:val="both"/>
        <w:rPr>
          <w:rFonts w:ascii="Arial" w:hAnsi="Arial" w:cs="Arial"/>
          <w:b/>
          <w:bCs/>
        </w:rPr>
      </w:pPr>
    </w:p>
    <w:p w14:paraId="4DBA66A4" w14:textId="77777777" w:rsidR="004A198D" w:rsidRPr="000C607C" w:rsidRDefault="004A198D" w:rsidP="005D0857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0C607C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1907F053" w14:textId="77777777" w:rsidR="00946229" w:rsidRPr="000C607C" w:rsidRDefault="00946229" w:rsidP="005D0857">
      <w:pPr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4D9C61DD" w14:textId="300B79A9" w:rsidR="00C930C2" w:rsidRPr="000C607C" w:rsidRDefault="00C930C2" w:rsidP="005D0857">
      <w:pPr>
        <w:jc w:val="center"/>
        <w:rPr>
          <w:rFonts w:ascii="Arial" w:eastAsia="Times New Roman" w:hAnsi="Arial" w:cs="Arial"/>
          <w:b/>
          <w:bCs/>
        </w:rPr>
      </w:pPr>
      <w:r w:rsidRPr="000C607C">
        <w:rPr>
          <w:rFonts w:ascii="Arial" w:eastAsia="Times New Roman" w:hAnsi="Arial" w:cs="Arial"/>
          <w:b/>
          <w:bCs/>
        </w:rPr>
        <w:t xml:space="preserve">COMMERCIALISTI, UN </w:t>
      </w:r>
      <w:r w:rsidR="000C607C" w:rsidRPr="000C607C">
        <w:rPr>
          <w:rFonts w:ascii="Arial" w:eastAsia="Times New Roman" w:hAnsi="Arial" w:cs="Arial"/>
          <w:b/>
          <w:bCs/>
        </w:rPr>
        <w:t xml:space="preserve">QUADERNO SUI PROFESSIONISTI </w:t>
      </w:r>
      <w:r w:rsidR="000C607C">
        <w:rPr>
          <w:rFonts w:ascii="Arial" w:eastAsia="Times New Roman" w:hAnsi="Arial" w:cs="Arial"/>
          <w:b/>
          <w:bCs/>
        </w:rPr>
        <w:t>N</w:t>
      </w:r>
      <w:r w:rsidR="000C607C" w:rsidRPr="000C607C">
        <w:rPr>
          <w:rFonts w:ascii="Arial" w:eastAsia="Times New Roman" w:hAnsi="Arial" w:cs="Arial"/>
          <w:b/>
          <w:bCs/>
        </w:rPr>
        <w:t>ELLA CRISI D’IMPRESA E NELLE FUNZIONI GIUDIZIARIE</w:t>
      </w:r>
    </w:p>
    <w:p w14:paraId="441C3D9B" w14:textId="77777777" w:rsidR="00F97D3B" w:rsidRPr="000C607C" w:rsidRDefault="00F97D3B" w:rsidP="005D0857">
      <w:pPr>
        <w:rPr>
          <w:rFonts w:ascii="Arial" w:eastAsia="Times New Roman" w:hAnsi="Arial" w:cs="Arial"/>
          <w:b/>
          <w:bCs/>
        </w:rPr>
      </w:pPr>
    </w:p>
    <w:p w14:paraId="05482AF1" w14:textId="7654F82E" w:rsidR="00F97D3B" w:rsidRDefault="00F97D3B" w:rsidP="000C607C">
      <w:pPr>
        <w:jc w:val="center"/>
        <w:rPr>
          <w:rFonts w:ascii="Arial" w:hAnsi="Arial" w:cs="Arial"/>
          <w:b/>
          <w:bCs/>
        </w:rPr>
      </w:pPr>
      <w:r w:rsidRPr="000C607C">
        <w:rPr>
          <w:rFonts w:ascii="Arial" w:eastAsia="Times New Roman" w:hAnsi="Arial" w:cs="Arial"/>
          <w:b/>
          <w:bCs/>
        </w:rPr>
        <w:t xml:space="preserve">Da Consiglio e Fondazione nazionali della categoria un focus </w:t>
      </w:r>
      <w:r w:rsidR="000C607C" w:rsidRPr="000C607C">
        <w:rPr>
          <w:rFonts w:ascii="Arial" w:eastAsia="Times New Roman" w:hAnsi="Arial" w:cs="Arial"/>
          <w:b/>
          <w:bCs/>
        </w:rPr>
        <w:t xml:space="preserve">su </w:t>
      </w:r>
      <w:r w:rsidR="000C607C" w:rsidRPr="000C607C">
        <w:rPr>
          <w:rFonts w:ascii="Arial" w:hAnsi="Arial" w:cs="Arial"/>
          <w:b/>
          <w:bCs/>
        </w:rPr>
        <w:t>requisiti</w:t>
      </w:r>
      <w:r w:rsidR="000C607C" w:rsidRPr="000C607C">
        <w:rPr>
          <w:rFonts w:ascii="Arial" w:hAnsi="Arial" w:cs="Arial"/>
          <w:b/>
          <w:bCs/>
        </w:rPr>
        <w:t xml:space="preserve"> e</w:t>
      </w:r>
      <w:r w:rsidR="000C607C" w:rsidRPr="000C607C">
        <w:rPr>
          <w:rFonts w:ascii="Arial" w:hAnsi="Arial" w:cs="Arial"/>
          <w:b/>
          <w:bCs/>
        </w:rPr>
        <w:t xml:space="preserve"> modalità di nomina, disciplina applicabile e correlati profili di responsabilità</w:t>
      </w:r>
    </w:p>
    <w:p w14:paraId="1752F381" w14:textId="77777777" w:rsidR="000C607C" w:rsidRPr="000C607C" w:rsidRDefault="000C607C" w:rsidP="000C607C">
      <w:pPr>
        <w:jc w:val="center"/>
        <w:rPr>
          <w:rFonts w:ascii="Arial" w:hAnsi="Arial" w:cs="Arial"/>
          <w:b/>
          <w:bCs/>
        </w:rPr>
      </w:pPr>
    </w:p>
    <w:p w14:paraId="0E72ACF7" w14:textId="77777777" w:rsidR="000C607C" w:rsidRPr="000C607C" w:rsidRDefault="000C607C" w:rsidP="000C607C">
      <w:pPr>
        <w:jc w:val="center"/>
        <w:rPr>
          <w:rFonts w:ascii="Arial" w:hAnsi="Arial" w:cs="Arial"/>
        </w:rPr>
      </w:pPr>
    </w:p>
    <w:p w14:paraId="70C791EF" w14:textId="5F8D467C" w:rsidR="008F7126" w:rsidRPr="000C607C" w:rsidRDefault="003138A4" w:rsidP="000C607C">
      <w:pPr>
        <w:jc w:val="both"/>
        <w:rPr>
          <w:rFonts w:ascii="Arial" w:hAnsi="Arial" w:cs="Arial"/>
          <w:lang w:eastAsia="en-US"/>
          <w14:ligatures w14:val="standardContextual"/>
        </w:rPr>
      </w:pPr>
      <w:r w:rsidRPr="000C607C">
        <w:rPr>
          <w:rFonts w:ascii="Arial" w:hAnsi="Arial" w:cs="Arial"/>
          <w:i/>
          <w:iCs/>
        </w:rPr>
        <w:t xml:space="preserve">Roma, </w:t>
      </w:r>
      <w:r w:rsidR="008F7126" w:rsidRPr="000C607C">
        <w:rPr>
          <w:rFonts w:ascii="Arial" w:hAnsi="Arial" w:cs="Arial"/>
          <w:i/>
          <w:iCs/>
        </w:rPr>
        <w:t>14 maggio</w:t>
      </w:r>
      <w:r w:rsidRPr="000C607C">
        <w:rPr>
          <w:rFonts w:ascii="Arial" w:hAnsi="Arial" w:cs="Arial"/>
          <w:i/>
          <w:iCs/>
        </w:rPr>
        <w:t xml:space="preserve"> 2025</w:t>
      </w:r>
      <w:r w:rsidRPr="000C607C">
        <w:rPr>
          <w:rFonts w:ascii="Arial" w:hAnsi="Arial" w:cs="Arial"/>
        </w:rPr>
        <w:t xml:space="preserve"> </w:t>
      </w:r>
      <w:r w:rsidR="005D0857" w:rsidRPr="000C607C">
        <w:rPr>
          <w:rFonts w:ascii="Arial" w:hAnsi="Arial" w:cs="Arial"/>
        </w:rPr>
        <w:t>–</w:t>
      </w:r>
      <w:r w:rsidRPr="000C607C">
        <w:rPr>
          <w:rFonts w:ascii="Arial" w:hAnsi="Arial" w:cs="Arial"/>
        </w:rPr>
        <w:t xml:space="preserve"> </w:t>
      </w:r>
      <w:r w:rsidR="00606C7B" w:rsidRPr="000C607C">
        <w:rPr>
          <w:rFonts w:ascii="Arial" w:hAnsi="Arial" w:cs="Arial"/>
        </w:rPr>
        <w:t xml:space="preserve">Il Consiglio e la Fondazione nazionali dei commercialisti hanno pubblicato il </w:t>
      </w:r>
      <w:r w:rsidR="008F7126" w:rsidRPr="000C607C">
        <w:rPr>
          <w:rFonts w:ascii="Arial" w:hAnsi="Arial" w:cs="Arial"/>
        </w:rPr>
        <w:t>quaderno</w:t>
      </w:r>
      <w:r w:rsidR="00606C7B" w:rsidRPr="000C607C">
        <w:rPr>
          <w:rFonts w:ascii="Arial" w:hAnsi="Arial" w:cs="Arial"/>
        </w:rPr>
        <w:t xml:space="preserve"> “</w:t>
      </w:r>
      <w:r w:rsidR="008F7126" w:rsidRPr="000C607C">
        <w:rPr>
          <w:rFonts w:ascii="Arial" w:hAnsi="Arial" w:cs="Arial"/>
          <w:b/>
          <w:bCs/>
          <w:lang w:eastAsia="en-US"/>
          <w14:ligatures w14:val="standardContextual"/>
        </w:rPr>
        <w:t>I professionisti nella crisi d’impresa e nelle funzioni giudiziarie</w:t>
      </w:r>
      <w:r w:rsidR="008F7126" w:rsidRPr="000C607C">
        <w:rPr>
          <w:rFonts w:ascii="Arial" w:hAnsi="Arial" w:cs="Arial"/>
          <w:b/>
          <w:bCs/>
          <w:lang w:eastAsia="en-US"/>
          <w14:ligatures w14:val="standardContextual"/>
        </w:rPr>
        <w:t>.</w:t>
      </w:r>
      <w:r w:rsidR="008F7126" w:rsidRPr="000C607C">
        <w:rPr>
          <w:rFonts w:ascii="Arial" w:hAnsi="Arial" w:cs="Arial"/>
          <w:b/>
          <w:bCs/>
          <w:lang w:eastAsia="en-US"/>
          <w14:ligatures w14:val="standardContextual"/>
        </w:rPr>
        <w:t xml:space="preserve"> Albi ed elenchi</w:t>
      </w:r>
      <w:r w:rsidR="00606C7B" w:rsidRPr="000C607C">
        <w:rPr>
          <w:rFonts w:ascii="Arial" w:hAnsi="Arial" w:cs="Arial"/>
        </w:rPr>
        <w:t xml:space="preserve">”, realizzato </w:t>
      </w:r>
      <w:r w:rsidR="008F7126" w:rsidRPr="000C607C">
        <w:rPr>
          <w:rFonts w:ascii="Arial" w:hAnsi="Arial" w:cs="Arial"/>
        </w:rPr>
        <w:t xml:space="preserve">nell’ambito delle aree </w:t>
      </w:r>
      <w:r w:rsidR="0076416E" w:rsidRPr="000C607C">
        <w:rPr>
          <w:rFonts w:ascii="Arial" w:hAnsi="Arial" w:cs="Arial"/>
        </w:rPr>
        <w:t>“</w:t>
      </w:r>
      <w:r w:rsidR="008F7126" w:rsidRPr="000C607C">
        <w:rPr>
          <w:rFonts w:ascii="Arial" w:hAnsi="Arial" w:cs="Arial"/>
          <w:lang w:eastAsia="en-US"/>
          <w14:ligatures w14:val="standardContextual"/>
        </w:rPr>
        <w:t>Funzioni giudiziarie e ADR</w:t>
      </w:r>
      <w:r w:rsidR="0076416E" w:rsidRPr="000C607C">
        <w:rPr>
          <w:rFonts w:ascii="Arial" w:hAnsi="Arial" w:cs="Arial"/>
          <w:lang w:eastAsia="en-US"/>
          <w14:ligatures w14:val="standardContextual"/>
        </w:rPr>
        <w:t>”</w:t>
      </w:r>
      <w:r w:rsidR="008F7126" w:rsidRPr="000C607C">
        <w:rPr>
          <w:rFonts w:ascii="Arial" w:hAnsi="Arial" w:cs="Arial"/>
          <w:lang w:eastAsia="en-US"/>
          <w14:ligatures w14:val="standardContextual"/>
        </w:rPr>
        <w:t xml:space="preserve"> </w:t>
      </w:r>
      <w:r w:rsidR="0076416E" w:rsidRPr="000C607C">
        <w:rPr>
          <w:rFonts w:ascii="Arial" w:hAnsi="Arial" w:cs="Arial"/>
          <w:lang w:eastAsia="en-US"/>
          <w14:ligatures w14:val="standardContextual"/>
        </w:rPr>
        <w:t>-</w:t>
      </w:r>
      <w:r w:rsidR="008F7126" w:rsidRPr="000C607C">
        <w:rPr>
          <w:rFonts w:ascii="Arial" w:hAnsi="Arial" w:cs="Arial"/>
          <w:lang w:eastAsia="en-US"/>
          <w14:ligatures w14:val="standardContextual"/>
        </w:rPr>
        <w:t xml:space="preserve"> a cui è delegato il Consigliere Segretario </w:t>
      </w:r>
      <w:r w:rsidR="008F7126" w:rsidRPr="000C607C">
        <w:rPr>
          <w:rFonts w:ascii="Arial" w:hAnsi="Arial" w:cs="Arial"/>
          <w:b/>
          <w:bCs/>
          <w:lang w:eastAsia="en-US"/>
          <w14:ligatures w14:val="standardContextual"/>
        </w:rPr>
        <w:t>Giovanna Greco</w:t>
      </w:r>
      <w:r w:rsidR="008F7126" w:rsidRPr="000C607C">
        <w:rPr>
          <w:rFonts w:ascii="Arial" w:hAnsi="Arial" w:cs="Arial"/>
          <w:lang w:eastAsia="en-US"/>
          <w14:ligatures w14:val="standardContextual"/>
        </w:rPr>
        <w:t xml:space="preserve"> </w:t>
      </w:r>
      <w:r w:rsidR="0076416E" w:rsidRPr="000C607C">
        <w:rPr>
          <w:rFonts w:ascii="Arial" w:hAnsi="Arial" w:cs="Arial"/>
          <w:lang w:eastAsia="en-US"/>
          <w14:ligatures w14:val="standardContextual"/>
        </w:rPr>
        <w:t>-</w:t>
      </w:r>
      <w:r w:rsidR="008F7126" w:rsidRPr="000C607C">
        <w:rPr>
          <w:rFonts w:ascii="Arial" w:hAnsi="Arial" w:cs="Arial"/>
          <w:lang w:eastAsia="en-US"/>
          <w14:ligatures w14:val="standardContextual"/>
        </w:rPr>
        <w:t xml:space="preserve"> e </w:t>
      </w:r>
      <w:r w:rsidR="0076416E" w:rsidRPr="000C607C">
        <w:rPr>
          <w:rFonts w:ascii="Arial" w:hAnsi="Arial" w:cs="Arial"/>
          <w:lang w:eastAsia="en-US"/>
          <w14:ligatures w14:val="standardContextual"/>
        </w:rPr>
        <w:t>“</w:t>
      </w:r>
      <w:r w:rsidR="008F7126" w:rsidRPr="000C607C">
        <w:rPr>
          <w:rFonts w:ascii="Arial" w:hAnsi="Arial" w:cs="Arial"/>
          <w:lang w:eastAsia="en-US"/>
          <w14:ligatures w14:val="standardContextual"/>
        </w:rPr>
        <w:t>Gestione della crisi d’impresa e procedure concorsuali</w:t>
      </w:r>
      <w:r w:rsidR="0076416E" w:rsidRPr="000C607C">
        <w:rPr>
          <w:rFonts w:ascii="Arial" w:hAnsi="Arial" w:cs="Arial"/>
          <w:lang w:eastAsia="en-US"/>
          <w14:ligatures w14:val="standardContextual"/>
        </w:rPr>
        <w:t>”</w:t>
      </w:r>
      <w:r w:rsidR="008F7126" w:rsidRPr="000C607C">
        <w:rPr>
          <w:rFonts w:ascii="Arial" w:hAnsi="Arial" w:cs="Arial"/>
          <w:lang w:eastAsia="en-US"/>
          <w14:ligatures w14:val="standardContextual"/>
        </w:rPr>
        <w:t xml:space="preserve"> </w:t>
      </w:r>
      <w:r w:rsidR="0076416E" w:rsidRPr="000C607C">
        <w:rPr>
          <w:rFonts w:ascii="Arial" w:hAnsi="Arial" w:cs="Arial"/>
          <w:lang w:eastAsia="en-US"/>
          <w14:ligatures w14:val="standardContextual"/>
        </w:rPr>
        <w:t>-</w:t>
      </w:r>
      <w:r w:rsidR="008F7126" w:rsidRPr="000C607C">
        <w:rPr>
          <w:rFonts w:ascii="Arial" w:hAnsi="Arial" w:cs="Arial"/>
          <w:lang w:eastAsia="en-US"/>
          <w14:ligatures w14:val="standardContextual"/>
        </w:rPr>
        <w:t xml:space="preserve"> a cui sono delegati i Consiglieri </w:t>
      </w:r>
      <w:r w:rsidR="008F7126" w:rsidRPr="000C607C">
        <w:rPr>
          <w:rFonts w:ascii="Arial" w:hAnsi="Arial" w:cs="Arial"/>
          <w:b/>
          <w:bCs/>
          <w:lang w:eastAsia="en-US"/>
          <w14:ligatures w14:val="standardContextual"/>
        </w:rPr>
        <w:t>Cristina Marrone</w:t>
      </w:r>
      <w:r w:rsidR="008F7126" w:rsidRPr="000C607C">
        <w:rPr>
          <w:rFonts w:ascii="Arial" w:hAnsi="Arial" w:cs="Arial"/>
          <w:lang w:eastAsia="en-US"/>
          <w14:ligatures w14:val="standardContextual"/>
        </w:rPr>
        <w:t xml:space="preserve"> </w:t>
      </w:r>
      <w:r w:rsidR="008F7126" w:rsidRPr="000C607C">
        <w:rPr>
          <w:rFonts w:ascii="Arial" w:hAnsi="Arial" w:cs="Arial"/>
          <w:lang w:eastAsia="en-US"/>
          <w14:ligatures w14:val="standardContextual"/>
        </w:rPr>
        <w:t xml:space="preserve">e </w:t>
      </w:r>
      <w:r w:rsidR="008F7126" w:rsidRPr="000C607C">
        <w:rPr>
          <w:rFonts w:ascii="Arial" w:hAnsi="Arial" w:cs="Arial"/>
          <w:b/>
          <w:bCs/>
          <w:lang w:eastAsia="en-US"/>
          <w14:ligatures w14:val="standardContextual"/>
        </w:rPr>
        <w:t>Pierpaolo Sanna</w:t>
      </w:r>
      <w:r w:rsidR="008F7126" w:rsidRPr="000C607C">
        <w:rPr>
          <w:rFonts w:ascii="Arial" w:hAnsi="Arial" w:cs="Arial"/>
          <w:lang w:eastAsia="en-US"/>
          <w14:ligatures w14:val="standardContextual"/>
        </w:rPr>
        <w:t>.</w:t>
      </w:r>
    </w:p>
    <w:p w14:paraId="4F53781F" w14:textId="77777777" w:rsidR="008F7126" w:rsidRPr="000C607C" w:rsidRDefault="008F7126" w:rsidP="000C607C">
      <w:pPr>
        <w:jc w:val="both"/>
        <w:rPr>
          <w:rFonts w:ascii="Arial" w:hAnsi="Arial" w:cs="Arial"/>
        </w:rPr>
      </w:pPr>
    </w:p>
    <w:p w14:paraId="470DD557" w14:textId="250D039F" w:rsidR="005D0857" w:rsidRPr="000C607C" w:rsidRDefault="00B71934" w:rsidP="000C607C">
      <w:pPr>
        <w:jc w:val="both"/>
        <w:rPr>
          <w:rFonts w:ascii="Arial" w:hAnsi="Arial" w:cs="Arial"/>
        </w:rPr>
      </w:pPr>
      <w:r w:rsidRPr="000C607C">
        <w:rPr>
          <w:rFonts w:ascii="Arial" w:hAnsi="Arial" w:cs="Arial"/>
        </w:rPr>
        <w:t>I</w:t>
      </w:r>
      <w:r w:rsidRPr="000C607C">
        <w:rPr>
          <w:rFonts w:ascii="Arial" w:hAnsi="Arial" w:cs="Arial"/>
        </w:rPr>
        <w:t xml:space="preserve">l quaderno esamina i </w:t>
      </w:r>
      <w:r w:rsidRPr="000C607C">
        <w:rPr>
          <w:rFonts w:ascii="Arial" w:hAnsi="Arial" w:cs="Arial"/>
          <w:b/>
          <w:bCs/>
        </w:rPr>
        <w:t>requisiti e le modalità di nomina</w:t>
      </w:r>
      <w:r w:rsidRPr="000C607C">
        <w:rPr>
          <w:rFonts w:ascii="Arial" w:hAnsi="Arial" w:cs="Arial"/>
        </w:rPr>
        <w:t xml:space="preserve">, la </w:t>
      </w:r>
      <w:r w:rsidRPr="000C607C">
        <w:rPr>
          <w:rFonts w:ascii="Arial" w:hAnsi="Arial" w:cs="Arial"/>
          <w:b/>
          <w:bCs/>
        </w:rPr>
        <w:t>disciplina applicabile e i correlati profili di responsabilità dei professionisti</w:t>
      </w:r>
      <w:r w:rsidRPr="000C607C">
        <w:rPr>
          <w:rFonts w:ascii="Arial" w:hAnsi="Arial" w:cs="Arial"/>
        </w:rPr>
        <w:t xml:space="preserve"> della crisi di impresa e di quelli che svolgono funzioni sussidiarie nell’amministrazione della giustizia.</w:t>
      </w:r>
    </w:p>
    <w:p w14:paraId="55517F1F" w14:textId="77777777" w:rsidR="00B71934" w:rsidRPr="000C607C" w:rsidRDefault="00B71934" w:rsidP="000C607C">
      <w:pPr>
        <w:jc w:val="both"/>
        <w:rPr>
          <w:rFonts w:ascii="Arial" w:hAnsi="Arial" w:cs="Arial"/>
        </w:rPr>
      </w:pPr>
    </w:p>
    <w:p w14:paraId="34B6ADB6" w14:textId="33A7EB09" w:rsidR="005D0857" w:rsidRPr="000C607C" w:rsidRDefault="00606C7B" w:rsidP="000C607C">
      <w:pPr>
        <w:pStyle w:val="Default"/>
        <w:jc w:val="both"/>
        <w:rPr>
          <w:rFonts w:ascii="Arial" w:hAnsi="Arial" w:cs="Arial"/>
          <w:color w:val="auto"/>
        </w:rPr>
      </w:pPr>
      <w:r w:rsidRPr="000C607C">
        <w:rPr>
          <w:rFonts w:ascii="Arial" w:hAnsi="Arial" w:cs="Arial"/>
          <w:color w:val="auto"/>
        </w:rPr>
        <w:t xml:space="preserve">Gli autori del documento sottolineano </w:t>
      </w:r>
      <w:r w:rsidR="00A06CE4" w:rsidRPr="000C607C">
        <w:rPr>
          <w:rFonts w:ascii="Arial" w:hAnsi="Arial" w:cs="Arial"/>
          <w:color w:val="auto"/>
        </w:rPr>
        <w:t>come “</w:t>
      </w:r>
      <w:r w:rsidR="00B71934" w:rsidRPr="000C607C">
        <w:rPr>
          <w:rFonts w:ascii="Arial" w:hAnsi="Arial" w:cs="Arial"/>
          <w:color w:val="auto"/>
        </w:rPr>
        <w:t>g</w:t>
      </w:r>
      <w:r w:rsidR="00B71934" w:rsidRPr="000C607C">
        <w:rPr>
          <w:rFonts w:ascii="Arial" w:hAnsi="Arial" w:cs="Arial"/>
          <w:color w:val="auto"/>
        </w:rPr>
        <w:t>li ultimi anni sono stati caratterizzati da un’intensa attività normativa che, nell’introdurre importanti novità nel nostro ordinamento, ha sensibilmente modificato il modo di esercitare la professione</w:t>
      </w:r>
      <w:r w:rsidR="00B71934" w:rsidRPr="000C607C">
        <w:rPr>
          <w:rFonts w:ascii="Arial" w:hAnsi="Arial" w:cs="Arial"/>
          <w:color w:val="auto"/>
        </w:rPr>
        <w:t>” e che “i</w:t>
      </w:r>
      <w:r w:rsidR="00B71934" w:rsidRPr="000C607C">
        <w:rPr>
          <w:rFonts w:ascii="Arial" w:hAnsi="Arial" w:cs="Arial"/>
          <w:color w:val="auto"/>
        </w:rPr>
        <w:t xml:space="preserve">l generale contesto, che si è venuto a creare a seguito della riforma della crisi d’impresa e dell’insolvenza o della riforma del processo civile, attribuisce senza alcun dubbio </w:t>
      </w:r>
      <w:r w:rsidR="00B71934" w:rsidRPr="000C607C">
        <w:rPr>
          <w:rFonts w:ascii="Arial" w:hAnsi="Arial" w:cs="Arial"/>
          <w:b/>
          <w:bCs/>
          <w:color w:val="auto"/>
        </w:rPr>
        <w:t>nuovi e importanti ruoli ai professionisti iscritti all’Albo</w:t>
      </w:r>
      <w:r w:rsidR="00B71934" w:rsidRPr="000C607C">
        <w:rPr>
          <w:rFonts w:ascii="Arial" w:hAnsi="Arial" w:cs="Arial"/>
          <w:color w:val="auto"/>
        </w:rPr>
        <w:t xml:space="preserve"> che </w:t>
      </w:r>
      <w:r w:rsidR="00B71934" w:rsidRPr="000C607C">
        <w:rPr>
          <w:rFonts w:ascii="Arial" w:hAnsi="Arial" w:cs="Arial"/>
          <w:b/>
          <w:bCs/>
          <w:color w:val="auto"/>
        </w:rPr>
        <w:t>vedono riconosciute</w:t>
      </w:r>
      <w:r w:rsidR="00B71934" w:rsidRPr="000C607C">
        <w:rPr>
          <w:rFonts w:ascii="Arial" w:hAnsi="Arial" w:cs="Arial"/>
          <w:color w:val="auto"/>
        </w:rPr>
        <w:t xml:space="preserve"> in molteplici occasioni </w:t>
      </w:r>
      <w:r w:rsidR="00B71934" w:rsidRPr="000C607C">
        <w:rPr>
          <w:rFonts w:ascii="Arial" w:hAnsi="Arial" w:cs="Arial"/>
          <w:b/>
          <w:bCs/>
          <w:color w:val="auto"/>
        </w:rPr>
        <w:t>le proprie competenze tecniche</w:t>
      </w:r>
      <w:r w:rsidR="00B71934" w:rsidRPr="000C607C">
        <w:rPr>
          <w:rFonts w:ascii="Arial" w:hAnsi="Arial" w:cs="Arial"/>
          <w:color w:val="auto"/>
        </w:rPr>
        <w:t>”.</w:t>
      </w:r>
    </w:p>
    <w:p w14:paraId="4CE91DE2" w14:textId="77777777" w:rsidR="00B71934" w:rsidRPr="000C607C" w:rsidRDefault="00B71934" w:rsidP="000C607C">
      <w:pPr>
        <w:jc w:val="both"/>
        <w:rPr>
          <w:rFonts w:ascii="Arial" w:hAnsi="Arial" w:cs="Arial"/>
        </w:rPr>
      </w:pPr>
    </w:p>
    <w:p w14:paraId="0DA703F9" w14:textId="3DFA36AC" w:rsidR="00C4066E" w:rsidRPr="000C607C" w:rsidRDefault="00B71934" w:rsidP="000C607C">
      <w:pPr>
        <w:jc w:val="both"/>
        <w:rPr>
          <w:rFonts w:ascii="Arial" w:eastAsia="Times New Roman" w:hAnsi="Arial" w:cs="Arial"/>
        </w:rPr>
      </w:pPr>
      <w:r w:rsidRPr="000C607C">
        <w:rPr>
          <w:rFonts w:ascii="Arial" w:hAnsi="Arial" w:cs="Arial"/>
        </w:rPr>
        <w:t xml:space="preserve">Nelle sei sezioni che compongono il quaderno viene effettuata una sintetica </w:t>
      </w:r>
      <w:r w:rsidRPr="000C607C">
        <w:rPr>
          <w:rFonts w:ascii="Arial" w:hAnsi="Arial" w:cs="Arial"/>
          <w:b/>
          <w:bCs/>
        </w:rPr>
        <w:t xml:space="preserve">esposizione delle regole di funzionamento degli elenchi, degli albi e dei registri </w:t>
      </w:r>
      <w:r w:rsidRPr="000C607C">
        <w:rPr>
          <w:rFonts w:ascii="Arial" w:hAnsi="Arial" w:cs="Arial"/>
        </w:rPr>
        <w:t>in cui i professionisti devono iscriversi per accedere agli incarichi presi in considerazione.</w:t>
      </w:r>
    </w:p>
    <w:sectPr w:rsidR="00C4066E" w:rsidRPr="000C607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1918" w14:textId="77777777" w:rsidR="0069416F" w:rsidRDefault="0069416F" w:rsidP="008A20F9">
      <w:r>
        <w:separator/>
      </w:r>
    </w:p>
  </w:endnote>
  <w:endnote w:type="continuationSeparator" w:id="0">
    <w:p w14:paraId="037DAA3E" w14:textId="77777777" w:rsidR="0069416F" w:rsidRDefault="0069416F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2FDC" w14:textId="77777777" w:rsidR="0069416F" w:rsidRDefault="0069416F" w:rsidP="008A20F9">
      <w:r>
        <w:separator/>
      </w:r>
    </w:p>
  </w:footnote>
  <w:footnote w:type="continuationSeparator" w:id="0">
    <w:p w14:paraId="6DBF4A86" w14:textId="77777777" w:rsidR="0069416F" w:rsidRDefault="0069416F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2297E"/>
    <w:rsid w:val="00025F77"/>
    <w:rsid w:val="00036A1E"/>
    <w:rsid w:val="00051F78"/>
    <w:rsid w:val="00052BAB"/>
    <w:rsid w:val="00055F3C"/>
    <w:rsid w:val="000645C4"/>
    <w:rsid w:val="00073211"/>
    <w:rsid w:val="000816F2"/>
    <w:rsid w:val="00081979"/>
    <w:rsid w:val="00082A9D"/>
    <w:rsid w:val="00084C66"/>
    <w:rsid w:val="00093929"/>
    <w:rsid w:val="000A7CC9"/>
    <w:rsid w:val="000C3B4A"/>
    <w:rsid w:val="000C5575"/>
    <w:rsid w:val="000C607C"/>
    <w:rsid w:val="000D27AC"/>
    <w:rsid w:val="000E5CC8"/>
    <w:rsid w:val="000E66F1"/>
    <w:rsid w:val="000E7227"/>
    <w:rsid w:val="000F3B82"/>
    <w:rsid w:val="000F6B5E"/>
    <w:rsid w:val="00115409"/>
    <w:rsid w:val="00123117"/>
    <w:rsid w:val="001326DC"/>
    <w:rsid w:val="00133D10"/>
    <w:rsid w:val="001569C4"/>
    <w:rsid w:val="0018334F"/>
    <w:rsid w:val="00184C9B"/>
    <w:rsid w:val="001936AE"/>
    <w:rsid w:val="00193ECA"/>
    <w:rsid w:val="001E3FC6"/>
    <w:rsid w:val="001F164F"/>
    <w:rsid w:val="002021CA"/>
    <w:rsid w:val="00204F36"/>
    <w:rsid w:val="00213E08"/>
    <w:rsid w:val="002208E1"/>
    <w:rsid w:val="002250D6"/>
    <w:rsid w:val="00230686"/>
    <w:rsid w:val="002330A2"/>
    <w:rsid w:val="00242AAC"/>
    <w:rsid w:val="00246A14"/>
    <w:rsid w:val="002509B2"/>
    <w:rsid w:val="00251068"/>
    <w:rsid w:val="00251F37"/>
    <w:rsid w:val="00252946"/>
    <w:rsid w:val="00253393"/>
    <w:rsid w:val="00253551"/>
    <w:rsid w:val="00264179"/>
    <w:rsid w:val="00264425"/>
    <w:rsid w:val="0026577C"/>
    <w:rsid w:val="00271D93"/>
    <w:rsid w:val="00282403"/>
    <w:rsid w:val="002957A8"/>
    <w:rsid w:val="002D55EB"/>
    <w:rsid w:val="002E3D8B"/>
    <w:rsid w:val="002F4C13"/>
    <w:rsid w:val="003138A4"/>
    <w:rsid w:val="00325C28"/>
    <w:rsid w:val="00336F75"/>
    <w:rsid w:val="00344711"/>
    <w:rsid w:val="00383E28"/>
    <w:rsid w:val="0039528E"/>
    <w:rsid w:val="003B396B"/>
    <w:rsid w:val="003E08CF"/>
    <w:rsid w:val="003F2C74"/>
    <w:rsid w:val="003F7323"/>
    <w:rsid w:val="00403777"/>
    <w:rsid w:val="00410A7B"/>
    <w:rsid w:val="00423A7B"/>
    <w:rsid w:val="00437EA9"/>
    <w:rsid w:val="00453CAC"/>
    <w:rsid w:val="00455CEA"/>
    <w:rsid w:val="00470DE9"/>
    <w:rsid w:val="00475192"/>
    <w:rsid w:val="004808BB"/>
    <w:rsid w:val="00495D0D"/>
    <w:rsid w:val="00497CC7"/>
    <w:rsid w:val="004A198D"/>
    <w:rsid w:val="004B03D3"/>
    <w:rsid w:val="004E125E"/>
    <w:rsid w:val="004E232F"/>
    <w:rsid w:val="005043FB"/>
    <w:rsid w:val="00505E0A"/>
    <w:rsid w:val="00517A64"/>
    <w:rsid w:val="0052455C"/>
    <w:rsid w:val="00524C36"/>
    <w:rsid w:val="00560379"/>
    <w:rsid w:val="00582A23"/>
    <w:rsid w:val="005839A6"/>
    <w:rsid w:val="005948DF"/>
    <w:rsid w:val="00594B66"/>
    <w:rsid w:val="005A1CDB"/>
    <w:rsid w:val="005B0045"/>
    <w:rsid w:val="005D0857"/>
    <w:rsid w:val="005D113A"/>
    <w:rsid w:val="005E0A7A"/>
    <w:rsid w:val="005E6EE7"/>
    <w:rsid w:val="0060482D"/>
    <w:rsid w:val="00606C7B"/>
    <w:rsid w:val="0061470B"/>
    <w:rsid w:val="00616738"/>
    <w:rsid w:val="0063007C"/>
    <w:rsid w:val="006359F9"/>
    <w:rsid w:val="006368B3"/>
    <w:rsid w:val="006406DF"/>
    <w:rsid w:val="00655B37"/>
    <w:rsid w:val="0067508F"/>
    <w:rsid w:val="0069416F"/>
    <w:rsid w:val="006A3700"/>
    <w:rsid w:val="006B67FC"/>
    <w:rsid w:val="006D7DB0"/>
    <w:rsid w:val="006F2100"/>
    <w:rsid w:val="00711638"/>
    <w:rsid w:val="00725074"/>
    <w:rsid w:val="00730088"/>
    <w:rsid w:val="007353A0"/>
    <w:rsid w:val="00737AB1"/>
    <w:rsid w:val="00750C0F"/>
    <w:rsid w:val="0076416E"/>
    <w:rsid w:val="00791300"/>
    <w:rsid w:val="0079253B"/>
    <w:rsid w:val="007C0DA7"/>
    <w:rsid w:val="007C5DD6"/>
    <w:rsid w:val="007D3A62"/>
    <w:rsid w:val="007D54A1"/>
    <w:rsid w:val="007E0C83"/>
    <w:rsid w:val="007E4A13"/>
    <w:rsid w:val="007F6A8D"/>
    <w:rsid w:val="008009B4"/>
    <w:rsid w:val="0080260A"/>
    <w:rsid w:val="008220C6"/>
    <w:rsid w:val="008338E7"/>
    <w:rsid w:val="00842C15"/>
    <w:rsid w:val="008435D3"/>
    <w:rsid w:val="00881569"/>
    <w:rsid w:val="008A00BE"/>
    <w:rsid w:val="008A20F9"/>
    <w:rsid w:val="008A68AA"/>
    <w:rsid w:val="008A7875"/>
    <w:rsid w:val="008B36DC"/>
    <w:rsid w:val="008B5892"/>
    <w:rsid w:val="008E2591"/>
    <w:rsid w:val="008E6D2A"/>
    <w:rsid w:val="008F601A"/>
    <w:rsid w:val="008F7126"/>
    <w:rsid w:val="008F7875"/>
    <w:rsid w:val="009072E5"/>
    <w:rsid w:val="00911316"/>
    <w:rsid w:val="00911445"/>
    <w:rsid w:val="00920E92"/>
    <w:rsid w:val="00924BB3"/>
    <w:rsid w:val="00945E2E"/>
    <w:rsid w:val="00946229"/>
    <w:rsid w:val="00960D39"/>
    <w:rsid w:val="00960DAA"/>
    <w:rsid w:val="00973192"/>
    <w:rsid w:val="00976B3F"/>
    <w:rsid w:val="0098698C"/>
    <w:rsid w:val="00991740"/>
    <w:rsid w:val="009B029E"/>
    <w:rsid w:val="009B69D9"/>
    <w:rsid w:val="009D653E"/>
    <w:rsid w:val="009D65D1"/>
    <w:rsid w:val="009D7B64"/>
    <w:rsid w:val="009D7BDC"/>
    <w:rsid w:val="009D7DF7"/>
    <w:rsid w:val="009E3B70"/>
    <w:rsid w:val="009E7612"/>
    <w:rsid w:val="009F3790"/>
    <w:rsid w:val="00A02CDA"/>
    <w:rsid w:val="00A06CE4"/>
    <w:rsid w:val="00A21A98"/>
    <w:rsid w:val="00A27EC8"/>
    <w:rsid w:val="00A75A96"/>
    <w:rsid w:val="00A83ACB"/>
    <w:rsid w:val="00A84437"/>
    <w:rsid w:val="00A87349"/>
    <w:rsid w:val="00A94A04"/>
    <w:rsid w:val="00A9564E"/>
    <w:rsid w:val="00A961CD"/>
    <w:rsid w:val="00AB3193"/>
    <w:rsid w:val="00AB51FE"/>
    <w:rsid w:val="00AD10F3"/>
    <w:rsid w:val="00AD683B"/>
    <w:rsid w:val="00AE5C47"/>
    <w:rsid w:val="00AF48E9"/>
    <w:rsid w:val="00AF496D"/>
    <w:rsid w:val="00B061BD"/>
    <w:rsid w:val="00B21003"/>
    <w:rsid w:val="00B622FF"/>
    <w:rsid w:val="00B71934"/>
    <w:rsid w:val="00B778F2"/>
    <w:rsid w:val="00B81758"/>
    <w:rsid w:val="00B92B34"/>
    <w:rsid w:val="00BA26EC"/>
    <w:rsid w:val="00BD752B"/>
    <w:rsid w:val="00BE6B22"/>
    <w:rsid w:val="00C32D04"/>
    <w:rsid w:val="00C4066E"/>
    <w:rsid w:val="00C43918"/>
    <w:rsid w:val="00C54A7A"/>
    <w:rsid w:val="00C64F45"/>
    <w:rsid w:val="00C653DB"/>
    <w:rsid w:val="00C71E02"/>
    <w:rsid w:val="00C751BF"/>
    <w:rsid w:val="00C80835"/>
    <w:rsid w:val="00C8258D"/>
    <w:rsid w:val="00C8321A"/>
    <w:rsid w:val="00C930C2"/>
    <w:rsid w:val="00C93E34"/>
    <w:rsid w:val="00CA6F40"/>
    <w:rsid w:val="00CC5721"/>
    <w:rsid w:val="00CC7EBC"/>
    <w:rsid w:val="00CD6241"/>
    <w:rsid w:val="00D104BE"/>
    <w:rsid w:val="00D13366"/>
    <w:rsid w:val="00D2175E"/>
    <w:rsid w:val="00D27D47"/>
    <w:rsid w:val="00D34EFC"/>
    <w:rsid w:val="00D4253F"/>
    <w:rsid w:val="00D46BE5"/>
    <w:rsid w:val="00D52088"/>
    <w:rsid w:val="00D61018"/>
    <w:rsid w:val="00D620F4"/>
    <w:rsid w:val="00D63DAE"/>
    <w:rsid w:val="00D66040"/>
    <w:rsid w:val="00DA19F5"/>
    <w:rsid w:val="00DB1EC9"/>
    <w:rsid w:val="00DB3A98"/>
    <w:rsid w:val="00DC26A1"/>
    <w:rsid w:val="00DC7953"/>
    <w:rsid w:val="00DD42BD"/>
    <w:rsid w:val="00DD4CF8"/>
    <w:rsid w:val="00DE22D9"/>
    <w:rsid w:val="00E01B44"/>
    <w:rsid w:val="00E05CC7"/>
    <w:rsid w:val="00E31675"/>
    <w:rsid w:val="00E33560"/>
    <w:rsid w:val="00E63630"/>
    <w:rsid w:val="00E70A64"/>
    <w:rsid w:val="00E73941"/>
    <w:rsid w:val="00E8677B"/>
    <w:rsid w:val="00E87288"/>
    <w:rsid w:val="00E926E5"/>
    <w:rsid w:val="00E95368"/>
    <w:rsid w:val="00EC353A"/>
    <w:rsid w:val="00ED626E"/>
    <w:rsid w:val="00EE4E51"/>
    <w:rsid w:val="00EE76A6"/>
    <w:rsid w:val="00EF1CD0"/>
    <w:rsid w:val="00EF333C"/>
    <w:rsid w:val="00EF7264"/>
    <w:rsid w:val="00F01297"/>
    <w:rsid w:val="00F01E5E"/>
    <w:rsid w:val="00F04469"/>
    <w:rsid w:val="00F10868"/>
    <w:rsid w:val="00F47555"/>
    <w:rsid w:val="00F72001"/>
    <w:rsid w:val="00F94166"/>
    <w:rsid w:val="00F97D3B"/>
    <w:rsid w:val="00FA1172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qFormat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customStyle="1" w:styleId="TipoDocumento">
    <w:name w:val="Tipo Documento"/>
    <w:basedOn w:val="Normale"/>
    <w:qFormat/>
    <w:rsid w:val="00282403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table" w:styleId="Tabellagriglia6acolori-colore1">
    <w:name w:val="Grid Table 6 Colorful Accent 1"/>
    <w:basedOn w:val="Tabellanormale"/>
    <w:uiPriority w:val="51"/>
    <w:rsid w:val="00F47555"/>
    <w:pPr>
      <w:spacing w:after="0" w:line="240" w:lineRule="auto"/>
    </w:pPr>
    <w:rPr>
      <w:rFonts w:eastAsiaTheme="minorEastAsia"/>
      <w:color w:val="0F4761" w:themeColor="accent1" w:themeShade="BF"/>
      <w:kern w:val="0"/>
      <w:sz w:val="21"/>
      <w:szCs w:val="21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719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dcterms:created xsi:type="dcterms:W3CDTF">2025-05-14T09:07:00Z</dcterms:created>
  <dcterms:modified xsi:type="dcterms:W3CDTF">2025-05-14T09:19:00Z</dcterms:modified>
</cp:coreProperties>
</file>