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388D" w14:textId="77777777" w:rsidR="00A57D38" w:rsidRPr="00CA3FA7" w:rsidRDefault="00A57D38" w:rsidP="00CA3FA7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6504BE0A" w14:textId="77777777" w:rsidR="00897CBC" w:rsidRPr="00DF230C" w:rsidRDefault="00897CBC" w:rsidP="00CA3FA7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22EF569" w14:textId="77777777" w:rsidR="00DF230C" w:rsidRDefault="00DF230C" w:rsidP="00DF230C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0FA20702" w14:textId="77777777" w:rsidR="00DF230C" w:rsidRPr="00DF230C" w:rsidRDefault="00DF230C" w:rsidP="00DF230C">
      <w:pPr>
        <w:jc w:val="center"/>
        <w:rPr>
          <w:rFonts w:ascii="Arial" w:eastAsia="Times New Roman" w:hAnsi="Arial" w:cs="Arial"/>
          <w:color w:val="000000"/>
          <w:sz w:val="23"/>
          <w:szCs w:val="23"/>
          <w:u w:val="single"/>
        </w:rPr>
      </w:pPr>
    </w:p>
    <w:p w14:paraId="1E8996D6" w14:textId="77777777" w:rsidR="00DF230C" w:rsidRDefault="00DF230C" w:rsidP="00DF230C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 COMMERCIALISTI, NUOVO DOCUMENTO SU SOSTENIBILITÀ, GOVERNANCE E FINANZA</w:t>
      </w:r>
    </w:p>
    <w:p w14:paraId="7DE7BC43" w14:textId="77777777" w:rsidR="00DF230C" w:rsidRPr="00DF230C" w:rsidRDefault="00DF230C" w:rsidP="00DF230C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1F6C537B" w14:textId="77777777" w:rsidR="00DF230C" w:rsidRDefault="00DF230C" w:rsidP="00DF230C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Ampiamente rivista la pubblicazione del 2024, tenendo conto dei recenti sviluppi di prassi e di normativa, anche alla luce delle proposte dell’Omnibus </w:t>
      </w:r>
      <w:proofErr w:type="spellStart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simplification</w:t>
      </w:r>
      <w:proofErr w:type="spellEnd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package</w:t>
      </w:r>
    </w:p>
    <w:p w14:paraId="12AF64C3" w14:textId="77777777" w:rsidR="00DF230C" w:rsidRPr="00DF230C" w:rsidRDefault="00DF230C" w:rsidP="00DF230C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19CB50F4" w14:textId="77777777" w:rsid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Roma, 17 aprile 2025 -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“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Sostenibilità, governance e finanza dell’impresa: impatto degli ESG con particolare riferimento alle PMI. Evoluzione degli scenari. </w:t>
      </w:r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 xml:space="preserve">Business </w:t>
      </w:r>
      <w:proofErr w:type="spellStart"/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continuity</w:t>
      </w:r>
      <w:proofErr w:type="spellEnd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nuove opportunità, creazione di valore: oltre la </w:t>
      </w:r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compliance</w:t>
      </w:r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”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 è il titolo di un documento pubblicato dal Consiglio nazionale dei commercialisti con il quale si aggiorna un precedente documento del marzo 2024, rivedendolo ampiamente in base ai recenti sviluppi di prassi e di normativa, anche alla luce delle proposte dell’</w:t>
      </w:r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 xml:space="preserve">Omnibus </w:t>
      </w:r>
      <w:proofErr w:type="spellStart"/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simplification</w:t>
      </w:r>
      <w:proofErr w:type="spellEnd"/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 xml:space="preserve"> Package on </w:t>
      </w:r>
      <w:proofErr w:type="spellStart"/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sustainability</w:t>
      </w:r>
      <w:proofErr w:type="spellEnd"/>
      <w:r w:rsidRPr="00DF230C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7A57AD64" w14:textId="77777777" w:rsidR="00DF230C" w:rsidRP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27ED6E1E" w14:textId="77777777" w:rsid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Obiettivo del documento – curato dalla Commissione di studio “Governance e Finanza” del Consiglio nazionale – è approfondire la relazione e il movimento bidirezionale tra i </w:t>
      </w:r>
      <w:proofErr w:type="spellStart"/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sustainability</w:t>
      </w:r>
      <w:proofErr w:type="spellEnd"/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issues</w:t>
      </w:r>
      <w:proofErr w:type="spellEnd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 e la governance delle aziende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– nella loro dimensione concettuale e funzionale –, nell’ottica di ripensare e migliorare gli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adeguati assetti “organizzativi, amministrativi e contabili” (OAC)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e potenziare così le connessioni dell’organizzazione con i suoi interlocutori, soprattutto col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sistema bancario e creditizio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7854D360" w14:textId="77777777" w:rsidR="00DF230C" w:rsidRP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5AA647B1" w14:textId="77777777" w:rsid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La riflessione muove dalla considerazione della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centralità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della sostenibilità nel consolidamento della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continuità aziendale e nella valutazione dell’impresa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. L’analisi intende focalizzarsi sullo stretto legame esistente e potenziale tra i principi di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corretta amministrazione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, di cui gli assetti OAC rappresentano la principale esplicitazione, e i fattori </w:t>
      </w:r>
      <w:proofErr w:type="spellStart"/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environmental</w:t>
      </w:r>
      <w:proofErr w:type="spellEnd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</w:t>
      </w:r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social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</w:t>
      </w:r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governance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(ESG)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nel contesto degli attuali processi di sviluppo europeo e nazionale nella </w:t>
      </w:r>
      <w:proofErr w:type="spellStart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sustainability</w:t>
      </w:r>
      <w:proofErr w:type="spellEnd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economics</w:t>
      </w:r>
      <w:proofErr w:type="spellEnd"/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(in particolare, nei settori della </w:t>
      </w:r>
      <w:proofErr w:type="spellStart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sustainable</w:t>
      </w:r>
      <w:proofErr w:type="spellEnd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finance</w:t>
      </w:r>
      <w:proofErr w:type="spellEnd"/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, del </w:t>
      </w:r>
      <w:proofErr w:type="spellStart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sustainability</w:t>
      </w:r>
      <w:proofErr w:type="spellEnd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reporting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e della </w:t>
      </w:r>
      <w:proofErr w:type="spellStart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sustainable</w:t>
      </w:r>
      <w:proofErr w:type="spellEnd"/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governance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) e di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digitalizzazione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dell’operatività aziendale, con particolare riferimento alle realtà aziendali di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medie e piccole dimensioni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095AF25E" w14:textId="77777777" w:rsidR="00DF230C" w:rsidRP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3819467D" w14:textId="77777777" w:rsid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Il documento consta di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tre “Parti”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dedicate al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contesto concettuale e normativo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, alla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governance aziendale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e alla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finanza d’impresa</w:t>
      </w:r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.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Completano la sua struttura due appendici e alcuni diversi approfondimenti.</w:t>
      </w:r>
    </w:p>
    <w:p w14:paraId="794EECB7" w14:textId="77777777" w:rsidR="00DF230C" w:rsidRP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3CB2068C" w14:textId="77777777" w:rsid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In un contesto normativo di riferimento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estremamente fluido,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i prossimi mesi saranno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cruciali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 per la discussione, la messa a punto tecnica e l’emanazione degli atti con cui implementare l’ordinamento europeo con le proposte dell’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Omnibus </w:t>
      </w:r>
      <w:proofErr w:type="spellStart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simplification</w:t>
      </w:r>
      <w:proofErr w:type="spellEnd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Package on </w:t>
      </w:r>
      <w:proofErr w:type="spellStart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sustainability</w:t>
      </w:r>
      <w:proofErr w:type="spellEnd"/>
      <w:r w:rsidRPr="00DF230C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0FB882CC" w14:textId="77777777" w:rsidR="00DF230C" w:rsidRP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14B1FA3C" w14:textId="77777777" w:rsid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Proprio sull’Omnibus Package, il presidente del Consiglio nazionale dei commercialisti,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Elbano de Nuccio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, e il Consigliere nazionale delegato allo Sviluppo sostenibile,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Gianluca Galletti,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sottolineano come sia “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condivisibile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la scelta dell’organo esecutivo europeo di confermare gli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obiettivi sostanziali della sostenibilità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quali elementi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imprescindibili”, rimarcando però che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”quando il cambiamento non è condiviso e non è graduale, non è neanche prevedibile nelle sue conseguenze, anche quelle più immediate, e viene perciò a configurarsi, esso stesso, quale elemento di rischio da mitigare, da gestire. Ecco perché siamo convinti delle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opportunità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offerte da una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rimodulazione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 e da una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semplificazione normativa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ma, allo stesso tempo, crediamo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lastRenderedPageBreak/>
        <w:t xml:space="preserve">occorra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rimarcare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l’importanza di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spingere verso l’integrazione volontaria della sostenibilità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nei processi aziendali, per non farci trovare impreparati – e guardiamo tanto alle imprese quanto ai loro consulenti – quando si manifestino gli effetti di rischi ESG ben visibili, ad esempio, nelle possibili conseguenze generate dalla diffusione di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politiche commerciali protezionistiche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con relative pressioni inflazionistiche e acredini nelle relazioni internazionali”. “Del resto” aggiungono, “non è un caso che il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mondo bancario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non sembra volersi privare delle informazioni ESG per la valutazione della posizione creditizia delle imprese, considerando la relazione tra sostenibilità economico-produttiva e continuità aziendale, tra gestione dei rischi ESG e capacità di creare valore nel lungo termine. Da questo punto di vista, sembra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condivisibile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la scelta di confermare l’integrazione nell’ordinamento europeo del principio della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doppia materialità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, scelta peraltro condivisa, sul fronte della </w:t>
      </w:r>
      <w:proofErr w:type="spellStart"/>
      <w:r w:rsidRPr="00DF230C">
        <w:rPr>
          <w:rFonts w:ascii="Arial" w:eastAsia="Times New Roman" w:hAnsi="Arial" w:cs="Arial"/>
          <w:color w:val="000000"/>
          <w:sz w:val="23"/>
          <w:szCs w:val="23"/>
        </w:rPr>
        <w:t>sustainability</w:t>
      </w:r>
      <w:proofErr w:type="spellEnd"/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 disclosure obbligatoria, anche in contesti tanto lontani dal nostro, fisicamente e culturalmente, come la Cina”.</w:t>
      </w:r>
    </w:p>
    <w:p w14:paraId="759DBBE4" w14:textId="77777777" w:rsidR="00DF230C" w:rsidRP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0AD98D51" w14:textId="77777777" w:rsidR="00DF230C" w:rsidRPr="00DF230C" w:rsidRDefault="00DF230C" w:rsidP="00DF230C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Per il presidente della Commissione di studio “Governance e finanza”,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Paolo </w:t>
      </w:r>
      <w:proofErr w:type="spellStart"/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Vernero</w:t>
      </w:r>
      <w:proofErr w:type="spellEnd"/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, “se, da un lato, la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semplificazione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può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migliorare l’efficienza e ridurre gli oneri burocratici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, a fronte dell’attuale corpo normativo, imponente ed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effettivamente gravoso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per il sistema-imprese europeo, dall’altro, esiste il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rischio concreto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che una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eccessiva deregolamentazione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possa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 minare i progressi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raggiunti finora in ambito di sostenibilità e, conseguentemente, innescare un effetto più ampio di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incertezza normativa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. Senza far ricorso a facili ottimismi, pare oggettivamente inopportuno rinnegare oggi l’importanza assunta dalla sostenibilità: le società più competitive sul mercato effettuano </w:t>
      </w:r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disclosure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di sostenibilità non tanto e non solo per “fare la rendicontazione”, ma interpretando la stessa quale </w:t>
      </w:r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output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finale di un processo ben più ampio, soltanto in parte collegato alla </w:t>
      </w:r>
      <w:r w:rsidRPr="00DF230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compliance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 normativa 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in quanto tale, e quale utile spunto strategico per gestire rischi e opportunità, in un’ottica di creazione del valore e di presidio della sua continuità nel tempo”.  “In sostanza”, conclude, “al di là delle scelte del legislatore rispetto a un’applicazione più o meno </w:t>
      </w:r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soft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della </w:t>
      </w:r>
      <w:r w:rsidRPr="00DF230C">
        <w:rPr>
          <w:rFonts w:ascii="Arial" w:eastAsia="Times New Roman" w:hAnsi="Arial" w:cs="Arial"/>
          <w:i/>
          <w:iCs/>
          <w:color w:val="000000"/>
          <w:sz w:val="23"/>
          <w:szCs w:val="23"/>
        </w:rPr>
        <w:t>compliance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 xml:space="preserve"> ESG, esistono motori propulsori che 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spingono oggettivamente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 la sostenibilità e questi, oltre ad avere un certo potere di condizionamento, rappresentano nel loro insieme gran parte di ciò che comunemente chiamiamo “</w:t>
      </w:r>
      <w:r w:rsidRPr="00DF230C">
        <w:rPr>
          <w:rFonts w:ascii="Arial" w:eastAsia="Times New Roman" w:hAnsi="Arial" w:cs="Arial"/>
          <w:b/>
          <w:bCs/>
          <w:color w:val="000000"/>
          <w:sz w:val="23"/>
          <w:szCs w:val="23"/>
        </w:rPr>
        <w:t>mercato</w:t>
      </w:r>
      <w:r w:rsidRPr="00DF230C">
        <w:rPr>
          <w:rFonts w:ascii="Arial" w:eastAsia="Times New Roman" w:hAnsi="Arial" w:cs="Arial"/>
          <w:color w:val="000000"/>
          <w:sz w:val="23"/>
          <w:szCs w:val="23"/>
        </w:rPr>
        <w:t>”.</w:t>
      </w:r>
    </w:p>
    <w:p w14:paraId="432BD864" w14:textId="294B209D" w:rsidR="003C6E20" w:rsidRPr="00DF230C" w:rsidRDefault="003C6E20" w:rsidP="00DF230C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sectPr w:rsidR="003C6E20" w:rsidRPr="00DF230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71E7" w14:textId="77777777" w:rsidR="00714010" w:rsidRDefault="00714010" w:rsidP="00A57D38">
      <w:r>
        <w:separator/>
      </w:r>
    </w:p>
  </w:endnote>
  <w:endnote w:type="continuationSeparator" w:id="0">
    <w:p w14:paraId="49CADC58" w14:textId="77777777" w:rsidR="00714010" w:rsidRDefault="00714010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D772" w14:textId="77777777" w:rsidR="00714010" w:rsidRDefault="00714010" w:rsidP="00A57D38">
      <w:r>
        <w:separator/>
      </w:r>
    </w:p>
  </w:footnote>
  <w:footnote w:type="continuationSeparator" w:id="0">
    <w:p w14:paraId="59B32932" w14:textId="77777777" w:rsidR="00714010" w:rsidRDefault="00714010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B02CC"/>
    <w:rsid w:val="000D5879"/>
    <w:rsid w:val="000F7086"/>
    <w:rsid w:val="001B1AFB"/>
    <w:rsid w:val="00227893"/>
    <w:rsid w:val="00300C69"/>
    <w:rsid w:val="003739DF"/>
    <w:rsid w:val="003A4F3F"/>
    <w:rsid w:val="003B5D81"/>
    <w:rsid w:val="003B6B20"/>
    <w:rsid w:val="003C6E20"/>
    <w:rsid w:val="004E2BA6"/>
    <w:rsid w:val="00522640"/>
    <w:rsid w:val="005315AC"/>
    <w:rsid w:val="00592D37"/>
    <w:rsid w:val="005C0771"/>
    <w:rsid w:val="00600B5B"/>
    <w:rsid w:val="00607179"/>
    <w:rsid w:val="00677E20"/>
    <w:rsid w:val="006C2AEE"/>
    <w:rsid w:val="00713B6B"/>
    <w:rsid w:val="00714010"/>
    <w:rsid w:val="00897CBC"/>
    <w:rsid w:val="008C5196"/>
    <w:rsid w:val="00901225"/>
    <w:rsid w:val="00987E6C"/>
    <w:rsid w:val="009A0F11"/>
    <w:rsid w:val="009A4154"/>
    <w:rsid w:val="009B2452"/>
    <w:rsid w:val="009D18F4"/>
    <w:rsid w:val="009D30A8"/>
    <w:rsid w:val="00A1045D"/>
    <w:rsid w:val="00A57D38"/>
    <w:rsid w:val="00B51AF3"/>
    <w:rsid w:val="00BE4889"/>
    <w:rsid w:val="00BF587A"/>
    <w:rsid w:val="00C33BF2"/>
    <w:rsid w:val="00C33EDC"/>
    <w:rsid w:val="00C577BE"/>
    <w:rsid w:val="00C61F00"/>
    <w:rsid w:val="00CA3FA7"/>
    <w:rsid w:val="00CC633C"/>
    <w:rsid w:val="00CE4415"/>
    <w:rsid w:val="00D4602D"/>
    <w:rsid w:val="00DE44CE"/>
    <w:rsid w:val="00DF230C"/>
    <w:rsid w:val="00DF605A"/>
    <w:rsid w:val="00E14B67"/>
    <w:rsid w:val="00E6186D"/>
    <w:rsid w:val="00EA565A"/>
    <w:rsid w:val="00ED7FAF"/>
    <w:rsid w:val="00EF56BE"/>
    <w:rsid w:val="00F1389A"/>
    <w:rsid w:val="00F7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2025-04-09T11:04:00Z</dcterms:created>
  <dcterms:modified xsi:type="dcterms:W3CDTF">2025-04-17T13:18:00Z</dcterms:modified>
</cp:coreProperties>
</file>