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8E71E" w14:textId="77777777" w:rsidR="007F05E1" w:rsidRPr="00412C0A" w:rsidRDefault="007F05E1" w:rsidP="00412C0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B758A4" w14:textId="6CF1E4E2" w:rsidR="00722A09" w:rsidRPr="00412C0A" w:rsidRDefault="00AF6DA7" w:rsidP="00412C0A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  <w:r w:rsidRPr="00412C0A">
        <w:rPr>
          <w:rFonts w:ascii="Arial" w:hAnsi="Arial" w:cs="Arial"/>
          <w:b/>
          <w:bCs/>
          <w:u w:val="single"/>
        </w:rPr>
        <w:t>Comunicato stampa</w:t>
      </w:r>
    </w:p>
    <w:p w14:paraId="7BF90A4D" w14:textId="77777777" w:rsidR="00AF6DA7" w:rsidRPr="00412C0A" w:rsidRDefault="00AF6DA7" w:rsidP="00412C0A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u w:val="single"/>
        </w:rPr>
      </w:pPr>
    </w:p>
    <w:p w14:paraId="072C72A6" w14:textId="32B78948" w:rsidR="00722A09" w:rsidRPr="00412C0A" w:rsidRDefault="00AF6DA7" w:rsidP="00412C0A">
      <w:pPr>
        <w:pStyle w:val="NormaleWeb"/>
        <w:shd w:val="clear" w:color="auto" w:fill="FFFFFF"/>
        <w:spacing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412C0A">
        <w:rPr>
          <w:rFonts w:ascii="Arial" w:hAnsi="Arial" w:cs="Arial"/>
          <w:b/>
          <w:bCs/>
          <w:sz w:val="24"/>
          <w:szCs w:val="24"/>
        </w:rPr>
        <w:t>SOSTENIBILITÀ: NELL’IRS 14 FOCUS DEI COMMERCIALISTI SU RENDICONTAZIONE VOLONTARIA PER PMI E MICROIMPRESE</w:t>
      </w:r>
    </w:p>
    <w:p w14:paraId="3DFA87D3" w14:textId="77777777" w:rsidR="00AF6DA7" w:rsidRPr="00412C0A" w:rsidRDefault="00AF6DA7" w:rsidP="00412C0A">
      <w:pPr>
        <w:pStyle w:val="NormaleWeb"/>
        <w:shd w:val="clear" w:color="auto" w:fill="FFFFFF"/>
        <w:spacing w:beforeAutospacing="0" w:after="0" w:afterAutospacing="0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0BEF109E" w14:textId="7A2E871A" w:rsidR="00722A09" w:rsidRPr="00412C0A" w:rsidRDefault="00FB0839" w:rsidP="00412C0A">
      <w:pPr>
        <w:pStyle w:val="NormaleWeb"/>
        <w:shd w:val="clear" w:color="auto" w:fill="FFFFFF"/>
        <w:spacing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412C0A">
        <w:rPr>
          <w:rFonts w:ascii="Arial" w:hAnsi="Arial" w:cs="Arial"/>
          <w:b/>
          <w:bCs/>
          <w:sz w:val="24"/>
          <w:szCs w:val="24"/>
        </w:rPr>
        <w:t>Il nuovo numero affronta il tema dell'ESRS VSME che prevedibilmente si estenderà a una platea più di imprese con un maggiore coinvolgimento della professione</w:t>
      </w:r>
    </w:p>
    <w:p w14:paraId="078AFD92" w14:textId="77777777" w:rsidR="00FB0839" w:rsidRPr="00412C0A" w:rsidRDefault="00FB0839" w:rsidP="00412C0A">
      <w:pPr>
        <w:pStyle w:val="NormaleWeb"/>
        <w:shd w:val="clear" w:color="auto" w:fill="FFFFFF"/>
        <w:spacing w:beforeAutospacing="0" w:after="0" w:afterAutospacing="0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300FFFCE" w14:textId="63D2A8A2" w:rsidR="00AF6DA7" w:rsidRPr="00412C0A" w:rsidRDefault="00722A09" w:rsidP="00412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C0A">
        <w:rPr>
          <w:rFonts w:ascii="Arial" w:hAnsi="Arial" w:cs="Arial"/>
          <w:i/>
          <w:iCs/>
          <w:sz w:val="24"/>
          <w:szCs w:val="24"/>
        </w:rPr>
        <w:t>Roma, 1</w:t>
      </w:r>
      <w:r w:rsidR="00AF6DA7" w:rsidRPr="00412C0A">
        <w:rPr>
          <w:rFonts w:ascii="Arial" w:hAnsi="Arial" w:cs="Arial"/>
          <w:i/>
          <w:iCs/>
          <w:sz w:val="24"/>
          <w:szCs w:val="24"/>
        </w:rPr>
        <w:t>6</w:t>
      </w:r>
      <w:r w:rsidRPr="00412C0A">
        <w:rPr>
          <w:rFonts w:ascii="Arial" w:hAnsi="Arial" w:cs="Arial"/>
          <w:i/>
          <w:iCs/>
          <w:sz w:val="24"/>
          <w:szCs w:val="24"/>
        </w:rPr>
        <w:t xml:space="preserve"> aprile 2025 –</w:t>
      </w:r>
      <w:r w:rsidRPr="00412C0A">
        <w:rPr>
          <w:rFonts w:ascii="Arial" w:hAnsi="Arial" w:cs="Arial"/>
          <w:sz w:val="24"/>
          <w:szCs w:val="24"/>
        </w:rPr>
        <w:t xml:space="preserve"> </w:t>
      </w:r>
      <w:r w:rsidR="00AF6DA7" w:rsidRPr="00412C0A">
        <w:rPr>
          <w:rFonts w:ascii="Arial" w:hAnsi="Arial" w:cs="Arial"/>
          <w:sz w:val="24"/>
          <w:szCs w:val="24"/>
        </w:rPr>
        <w:t>“</w:t>
      </w:r>
      <w:r w:rsidR="00AF6DA7" w:rsidRPr="00B55668">
        <w:rPr>
          <w:rFonts w:ascii="Arial" w:hAnsi="Arial" w:cs="Arial"/>
          <w:b/>
          <w:bCs/>
          <w:sz w:val="24"/>
          <w:szCs w:val="24"/>
        </w:rPr>
        <w:t>ESRS VSME. Rendicontazione di sostenibilità volontaria per Pmi e microimprese</w:t>
      </w:r>
      <w:r w:rsidR="00AF6DA7" w:rsidRPr="00412C0A">
        <w:rPr>
          <w:rFonts w:ascii="Arial" w:hAnsi="Arial" w:cs="Arial"/>
          <w:sz w:val="24"/>
          <w:szCs w:val="24"/>
        </w:rPr>
        <w:t xml:space="preserve">” è il titolo del </w:t>
      </w:r>
      <w:r w:rsidR="00AF6DA7" w:rsidRPr="00B55668">
        <w:rPr>
          <w:rFonts w:ascii="Arial" w:hAnsi="Arial" w:cs="Arial"/>
          <w:b/>
          <w:bCs/>
          <w:sz w:val="24"/>
          <w:szCs w:val="24"/>
        </w:rPr>
        <w:t>n. 14 dell’IRS (Informativa Reporting di Sostenibilità)</w:t>
      </w:r>
      <w:r w:rsidR="00AF6DA7" w:rsidRPr="00412C0A">
        <w:rPr>
          <w:rFonts w:ascii="Arial" w:hAnsi="Arial" w:cs="Arial"/>
          <w:sz w:val="24"/>
          <w:szCs w:val="24"/>
        </w:rPr>
        <w:t xml:space="preserve"> del </w:t>
      </w:r>
      <w:r w:rsidR="00AF6DA7" w:rsidRPr="00B55668">
        <w:rPr>
          <w:rFonts w:ascii="Arial" w:hAnsi="Arial" w:cs="Arial"/>
          <w:b/>
          <w:bCs/>
          <w:sz w:val="24"/>
          <w:szCs w:val="24"/>
        </w:rPr>
        <w:t>Consiglio nazionale dei commercialisti</w:t>
      </w:r>
      <w:r w:rsidR="00B55668">
        <w:rPr>
          <w:rFonts w:ascii="Arial" w:hAnsi="Arial" w:cs="Arial"/>
          <w:sz w:val="24"/>
          <w:szCs w:val="24"/>
        </w:rPr>
        <w:t xml:space="preserve">, </w:t>
      </w:r>
      <w:r w:rsidR="00AF6DA7" w:rsidRPr="00412C0A">
        <w:rPr>
          <w:rFonts w:ascii="Arial" w:hAnsi="Arial" w:cs="Arial"/>
          <w:sz w:val="24"/>
          <w:szCs w:val="24"/>
        </w:rPr>
        <w:t xml:space="preserve">realizzata nell’ambito dell’area di delega del consigliere Gian Luca Galletti e della commissione “Reporting di Sostenibilità” di cui è presidente </w:t>
      </w:r>
      <w:proofErr w:type="spellStart"/>
      <w:r w:rsidR="00AF6DA7" w:rsidRPr="00412C0A">
        <w:rPr>
          <w:rFonts w:ascii="Arial" w:hAnsi="Arial" w:cs="Arial"/>
          <w:sz w:val="24"/>
          <w:szCs w:val="24"/>
        </w:rPr>
        <w:t>Angeloantonio</w:t>
      </w:r>
      <w:proofErr w:type="spellEnd"/>
      <w:r w:rsidR="00AF6DA7" w:rsidRPr="00412C0A">
        <w:rPr>
          <w:rFonts w:ascii="Arial" w:hAnsi="Arial" w:cs="Arial"/>
          <w:sz w:val="24"/>
          <w:szCs w:val="24"/>
        </w:rPr>
        <w:t xml:space="preserve"> Russo, autore di questo numero insieme a Monica Peta ed Enzo Tucci.</w:t>
      </w:r>
    </w:p>
    <w:p w14:paraId="70D5421F" w14:textId="77777777" w:rsidR="00AF6DA7" w:rsidRPr="00412C0A" w:rsidRDefault="00AF6DA7" w:rsidP="00412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56999F" w14:textId="77777777" w:rsidR="00AF6DA7" w:rsidRPr="00412C0A" w:rsidRDefault="00AF6DA7" w:rsidP="00412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C0A">
        <w:rPr>
          <w:rFonts w:ascii="Arial" w:hAnsi="Arial" w:cs="Arial"/>
          <w:sz w:val="24"/>
          <w:szCs w:val="24"/>
        </w:rPr>
        <w:t xml:space="preserve">I </w:t>
      </w:r>
      <w:r w:rsidRPr="00B55668">
        <w:rPr>
          <w:rFonts w:ascii="Arial" w:hAnsi="Arial" w:cs="Arial"/>
          <w:b/>
          <w:bCs/>
          <w:sz w:val="24"/>
          <w:szCs w:val="24"/>
        </w:rPr>
        <w:t>primi report di sostenibilità</w:t>
      </w:r>
      <w:r w:rsidRPr="00412C0A">
        <w:rPr>
          <w:rFonts w:ascii="Arial" w:hAnsi="Arial" w:cs="Arial"/>
          <w:sz w:val="24"/>
          <w:szCs w:val="24"/>
        </w:rPr>
        <w:t xml:space="preserve"> con riferimento all’</w:t>
      </w:r>
      <w:r w:rsidRPr="00B55668">
        <w:rPr>
          <w:rFonts w:ascii="Arial" w:hAnsi="Arial" w:cs="Arial"/>
          <w:b/>
          <w:bCs/>
          <w:sz w:val="24"/>
          <w:szCs w:val="24"/>
        </w:rPr>
        <w:t>esercizio finanziario 2024</w:t>
      </w:r>
      <w:r w:rsidRPr="00412C0A">
        <w:rPr>
          <w:rFonts w:ascii="Arial" w:hAnsi="Arial" w:cs="Arial"/>
          <w:sz w:val="24"/>
          <w:szCs w:val="24"/>
        </w:rPr>
        <w:t xml:space="preserve">, redatti in applicazione della Direttiva (UE) 2022/2464, Corporate </w:t>
      </w:r>
      <w:proofErr w:type="spellStart"/>
      <w:r w:rsidRPr="00412C0A">
        <w:rPr>
          <w:rFonts w:ascii="Arial" w:hAnsi="Arial" w:cs="Arial"/>
          <w:sz w:val="24"/>
          <w:szCs w:val="24"/>
        </w:rPr>
        <w:t>Sustainability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Reporting Directive (CSRD) e degli standard </w:t>
      </w:r>
      <w:proofErr w:type="spellStart"/>
      <w:r w:rsidRPr="00412C0A">
        <w:rPr>
          <w:rFonts w:ascii="Arial" w:hAnsi="Arial" w:cs="Arial"/>
          <w:sz w:val="24"/>
          <w:szCs w:val="24"/>
        </w:rPr>
        <w:t>European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12C0A">
        <w:rPr>
          <w:rFonts w:ascii="Arial" w:hAnsi="Arial" w:cs="Arial"/>
          <w:sz w:val="24"/>
          <w:szCs w:val="24"/>
        </w:rPr>
        <w:t>Sustainability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Reporting Standards (ESRS), </w:t>
      </w:r>
      <w:r w:rsidRPr="00B55668">
        <w:rPr>
          <w:rFonts w:ascii="Arial" w:hAnsi="Arial" w:cs="Arial"/>
          <w:b/>
          <w:bCs/>
          <w:sz w:val="24"/>
          <w:szCs w:val="24"/>
        </w:rPr>
        <w:t>hanno registrato</w:t>
      </w:r>
      <w:r w:rsidRPr="00412C0A">
        <w:rPr>
          <w:rFonts w:ascii="Arial" w:hAnsi="Arial" w:cs="Arial"/>
          <w:sz w:val="24"/>
          <w:szCs w:val="24"/>
        </w:rPr>
        <w:t xml:space="preserve"> </w:t>
      </w:r>
      <w:r w:rsidRPr="00B55668">
        <w:rPr>
          <w:rFonts w:ascii="Arial" w:hAnsi="Arial" w:cs="Arial"/>
          <w:b/>
          <w:bCs/>
          <w:sz w:val="24"/>
          <w:szCs w:val="24"/>
        </w:rPr>
        <w:t>alcune criticità</w:t>
      </w:r>
      <w:r w:rsidRPr="00412C0A">
        <w:rPr>
          <w:rFonts w:ascii="Arial" w:hAnsi="Arial" w:cs="Arial"/>
          <w:sz w:val="24"/>
          <w:szCs w:val="24"/>
        </w:rPr>
        <w:t xml:space="preserve"> legate alla ridondanza dei </w:t>
      </w:r>
      <w:proofErr w:type="spellStart"/>
      <w:r w:rsidRPr="00412C0A">
        <w:rPr>
          <w:rFonts w:ascii="Arial" w:hAnsi="Arial" w:cs="Arial"/>
          <w:sz w:val="24"/>
          <w:szCs w:val="24"/>
        </w:rPr>
        <w:t>datapoint</w:t>
      </w:r>
      <w:proofErr w:type="spellEnd"/>
      <w:r w:rsidRPr="00412C0A">
        <w:rPr>
          <w:rFonts w:ascii="Arial" w:hAnsi="Arial" w:cs="Arial"/>
          <w:sz w:val="24"/>
          <w:szCs w:val="24"/>
        </w:rPr>
        <w:t xml:space="preserve"> e alla raccolta delle informazioni.</w:t>
      </w:r>
    </w:p>
    <w:p w14:paraId="55503410" w14:textId="77777777" w:rsidR="00AF6DA7" w:rsidRPr="00412C0A" w:rsidRDefault="00AF6DA7" w:rsidP="00412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EA38B6" w14:textId="13B7B0F2" w:rsidR="00AF6DA7" w:rsidRPr="00412C0A" w:rsidRDefault="00AF6DA7" w:rsidP="00412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C0A">
        <w:rPr>
          <w:rFonts w:ascii="Arial" w:hAnsi="Arial" w:cs="Arial"/>
          <w:sz w:val="24"/>
          <w:szCs w:val="24"/>
        </w:rPr>
        <w:t xml:space="preserve">Il legislatore europeo è già intervenuto, adottando </w:t>
      </w:r>
      <w:r w:rsidRPr="00B55668">
        <w:rPr>
          <w:rFonts w:ascii="Arial" w:hAnsi="Arial" w:cs="Arial"/>
          <w:b/>
          <w:bCs/>
          <w:sz w:val="24"/>
          <w:szCs w:val="24"/>
        </w:rPr>
        <w:t>misure di semplificazione degli ESRS</w:t>
      </w:r>
      <w:r w:rsidRPr="00412C0A">
        <w:rPr>
          <w:rFonts w:ascii="Arial" w:hAnsi="Arial" w:cs="Arial"/>
          <w:sz w:val="24"/>
          <w:szCs w:val="24"/>
        </w:rPr>
        <w:t xml:space="preserve"> e approvando il rinvio dell’obbligo per gli esercizi finanziari 2025 e 2026 per favorire il contenimento degli sforzi e degli investimenti delle PMI e delle grandi imprese. Tenendo conto del contesto europeo attuale riferito all’Omnibus Package – proposto dalla Commissione Europea il 26 febbraio 2025 </w:t>
      </w:r>
      <w:r w:rsidR="00B55668">
        <w:rPr>
          <w:rFonts w:ascii="Arial" w:hAnsi="Arial" w:cs="Arial"/>
          <w:sz w:val="24"/>
          <w:szCs w:val="24"/>
        </w:rPr>
        <w:t>–</w:t>
      </w:r>
      <w:r w:rsidRPr="00412C0A">
        <w:rPr>
          <w:rFonts w:ascii="Arial" w:hAnsi="Arial" w:cs="Arial"/>
          <w:sz w:val="24"/>
          <w:szCs w:val="24"/>
        </w:rPr>
        <w:t xml:space="preserve">, la presente informativa intende fornire una </w:t>
      </w:r>
      <w:r w:rsidRPr="00B55668">
        <w:rPr>
          <w:rFonts w:ascii="Arial" w:hAnsi="Arial" w:cs="Arial"/>
          <w:b/>
          <w:bCs/>
          <w:sz w:val="24"/>
          <w:szCs w:val="24"/>
        </w:rPr>
        <w:t>guida alla rendicontazione volontaria delle PMI e microimprese in conformità all’ESRS volontario</w:t>
      </w:r>
      <w:r w:rsidRPr="00412C0A">
        <w:rPr>
          <w:rFonts w:ascii="Arial" w:hAnsi="Arial" w:cs="Arial"/>
          <w:sz w:val="24"/>
          <w:szCs w:val="24"/>
        </w:rPr>
        <w:t xml:space="preserve"> (ESRS VSME)</w:t>
      </w:r>
      <w:r w:rsidR="00B55668">
        <w:rPr>
          <w:rFonts w:ascii="Arial" w:hAnsi="Arial" w:cs="Arial"/>
          <w:sz w:val="24"/>
          <w:szCs w:val="24"/>
        </w:rPr>
        <w:t>, che include</w:t>
      </w:r>
      <w:r w:rsidRPr="00412C0A">
        <w:rPr>
          <w:rFonts w:ascii="Arial" w:hAnsi="Arial" w:cs="Arial"/>
          <w:sz w:val="24"/>
          <w:szCs w:val="24"/>
        </w:rPr>
        <w:t xml:space="preserve"> le informative richieste dalle banche in applicazione del regolamento di finanza sostenibile e delle Linee guida EBA.</w:t>
      </w:r>
    </w:p>
    <w:p w14:paraId="348E4B00" w14:textId="77777777" w:rsidR="00AF6DA7" w:rsidRPr="00412C0A" w:rsidRDefault="00AF6DA7" w:rsidP="00412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010409" w14:textId="51E01146" w:rsidR="00126271" w:rsidRPr="00412C0A" w:rsidRDefault="00AF6DA7" w:rsidP="00412C0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C0A">
        <w:rPr>
          <w:rFonts w:ascii="Arial" w:hAnsi="Arial" w:cs="Arial"/>
          <w:sz w:val="24"/>
          <w:szCs w:val="24"/>
        </w:rPr>
        <w:t xml:space="preserve">La rendicontazione volontaria prevedibilmente </w:t>
      </w:r>
      <w:r w:rsidRPr="00B55668">
        <w:rPr>
          <w:rFonts w:ascii="Arial" w:hAnsi="Arial" w:cs="Arial"/>
          <w:b/>
          <w:bCs/>
          <w:sz w:val="24"/>
          <w:szCs w:val="24"/>
        </w:rPr>
        <w:t>si estenderà a una più ampia platea di imprese</w:t>
      </w:r>
      <w:r w:rsidRPr="00412C0A">
        <w:rPr>
          <w:rFonts w:ascii="Arial" w:hAnsi="Arial" w:cs="Arial"/>
          <w:sz w:val="24"/>
          <w:szCs w:val="24"/>
        </w:rPr>
        <w:t xml:space="preserve"> con un </w:t>
      </w:r>
      <w:r w:rsidRPr="00B55668">
        <w:rPr>
          <w:rFonts w:ascii="Arial" w:hAnsi="Arial" w:cs="Arial"/>
          <w:b/>
          <w:bCs/>
          <w:sz w:val="24"/>
          <w:szCs w:val="24"/>
        </w:rPr>
        <w:t>maggiore coinvolgimento della figura professionale del commercialista</w:t>
      </w:r>
      <w:r w:rsidRPr="00412C0A">
        <w:rPr>
          <w:rFonts w:ascii="Arial" w:hAnsi="Arial" w:cs="Arial"/>
          <w:sz w:val="24"/>
          <w:szCs w:val="24"/>
        </w:rPr>
        <w:t>.</w:t>
      </w:r>
    </w:p>
    <w:sectPr w:rsidR="00126271" w:rsidRPr="00412C0A">
      <w:footerReference w:type="default" r:id="rId8"/>
      <w:headerReference w:type="first" r:id="rId9"/>
      <w:pgSz w:w="11906" w:h="16838"/>
      <w:pgMar w:top="1418" w:right="1134" w:bottom="1134" w:left="1134" w:header="709" w:footer="709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0B9DF" w14:textId="77777777" w:rsidR="008213AF" w:rsidRDefault="008213AF">
      <w:pPr>
        <w:spacing w:after="0" w:line="240" w:lineRule="auto"/>
      </w:pPr>
      <w:r>
        <w:separator/>
      </w:r>
    </w:p>
  </w:endnote>
  <w:endnote w:type="continuationSeparator" w:id="0">
    <w:p w14:paraId="7C252A40" w14:textId="77777777" w:rsidR="008213AF" w:rsidRDefault="0082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D11F6" w14:textId="1A16FB38" w:rsidR="00696EFE" w:rsidRDefault="00696EFE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AC1A8" w14:textId="77777777" w:rsidR="008213AF" w:rsidRDefault="008213AF">
      <w:r>
        <w:separator/>
      </w:r>
    </w:p>
  </w:footnote>
  <w:footnote w:type="continuationSeparator" w:id="0">
    <w:p w14:paraId="0CCC11BF" w14:textId="77777777" w:rsidR="008213AF" w:rsidRDefault="00821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9F42" w14:textId="14745F10" w:rsidR="00696EFE" w:rsidRDefault="00696EFE" w:rsidP="00AF6DA7">
    <w:pPr>
      <w:pStyle w:val="Intestazione"/>
      <w:tabs>
        <w:tab w:val="clear" w:pos="9638"/>
        <w:tab w:val="left" w:pos="7980"/>
      </w:tabs>
      <w:jc w:val="center"/>
    </w:pPr>
    <w:r>
      <w:rPr>
        <w:noProof/>
        <w:lang w:eastAsia="it-IT"/>
      </w:rPr>
      <w:drawing>
        <wp:inline distT="0" distB="0" distL="0" distR="0" wp14:anchorId="26E64F63" wp14:editId="6C804A26">
          <wp:extent cx="1994535" cy="752475"/>
          <wp:effectExtent l="0" t="0" r="0" b="0"/>
          <wp:docPr id="3" name="Immagine3" descr="logo_con scritta_later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3" descr="logo_con scritta_latera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C162FEF"/>
    <w:multiLevelType w:val="multilevel"/>
    <w:tmpl w:val="53BE16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6B3A5226"/>
    <w:multiLevelType w:val="multilevel"/>
    <w:tmpl w:val="610EC8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538205222">
    <w:abstractNumId w:val="3"/>
  </w:num>
  <w:num w:numId="2" w16cid:durableId="1838575346">
    <w:abstractNumId w:val="1"/>
  </w:num>
  <w:num w:numId="3" w16cid:durableId="1353264366">
    <w:abstractNumId w:val="0"/>
  </w:num>
  <w:num w:numId="4" w16cid:durableId="690765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AD"/>
    <w:rsid w:val="00003655"/>
    <w:rsid w:val="000D6AC4"/>
    <w:rsid w:val="00126271"/>
    <w:rsid w:val="00140893"/>
    <w:rsid w:val="00167133"/>
    <w:rsid w:val="001A5754"/>
    <w:rsid w:val="001E6D26"/>
    <w:rsid w:val="00245BB1"/>
    <w:rsid w:val="002501D5"/>
    <w:rsid w:val="00256EE2"/>
    <w:rsid w:val="002B2183"/>
    <w:rsid w:val="002E0BC0"/>
    <w:rsid w:val="00301184"/>
    <w:rsid w:val="003334AD"/>
    <w:rsid w:val="003D5363"/>
    <w:rsid w:val="00412C0A"/>
    <w:rsid w:val="00536241"/>
    <w:rsid w:val="00543A7A"/>
    <w:rsid w:val="00552873"/>
    <w:rsid w:val="005A5C85"/>
    <w:rsid w:val="005F03C8"/>
    <w:rsid w:val="00684013"/>
    <w:rsid w:val="00696EFE"/>
    <w:rsid w:val="006B363C"/>
    <w:rsid w:val="006D2F77"/>
    <w:rsid w:val="006E1CFB"/>
    <w:rsid w:val="00717460"/>
    <w:rsid w:val="00722A09"/>
    <w:rsid w:val="007601FD"/>
    <w:rsid w:val="007F05E1"/>
    <w:rsid w:val="008213AF"/>
    <w:rsid w:val="00850295"/>
    <w:rsid w:val="00875B97"/>
    <w:rsid w:val="0089754A"/>
    <w:rsid w:val="008B40E9"/>
    <w:rsid w:val="008D4A76"/>
    <w:rsid w:val="00935451"/>
    <w:rsid w:val="00945E68"/>
    <w:rsid w:val="00964F42"/>
    <w:rsid w:val="0098066E"/>
    <w:rsid w:val="009B4600"/>
    <w:rsid w:val="009E186D"/>
    <w:rsid w:val="00AF2B0F"/>
    <w:rsid w:val="00AF6DA7"/>
    <w:rsid w:val="00B55668"/>
    <w:rsid w:val="00B67A43"/>
    <w:rsid w:val="00BB0AEF"/>
    <w:rsid w:val="00BE69D5"/>
    <w:rsid w:val="00C51009"/>
    <w:rsid w:val="00C75B89"/>
    <w:rsid w:val="00CC537D"/>
    <w:rsid w:val="00D32EE7"/>
    <w:rsid w:val="00D372B8"/>
    <w:rsid w:val="00DA72D1"/>
    <w:rsid w:val="00E429EB"/>
    <w:rsid w:val="00EA6A15"/>
    <w:rsid w:val="00F341FF"/>
    <w:rsid w:val="00FB078D"/>
    <w:rsid w:val="00FB0839"/>
    <w:rsid w:val="00FD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77C5E"/>
  <w15:docId w15:val="{36A6038B-8815-428D-82D7-F3197E8B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17CFD"/>
    <w:pPr>
      <w:spacing w:after="200" w:line="276" w:lineRule="auto"/>
    </w:pPr>
    <w:rPr>
      <w:rFonts w:cs="Times New Roman"/>
      <w:color w:val="00000A"/>
      <w:sz w:val="22"/>
    </w:rPr>
  </w:style>
  <w:style w:type="paragraph" w:styleId="Titolo1">
    <w:name w:val="heading 1"/>
    <w:basedOn w:val="Normale"/>
    <w:link w:val="Titolo1Carattere"/>
    <w:uiPriority w:val="9"/>
    <w:qFormat/>
    <w:rsid w:val="000E4698"/>
    <w:pPr>
      <w:keepNext/>
      <w:keepLines/>
      <w:suppressAutoHyphens/>
      <w:spacing w:before="480" w:after="0" w:line="260" w:lineRule="atLeast"/>
      <w:outlineLvl w:val="0"/>
    </w:pPr>
    <w:rPr>
      <w:rFonts w:eastAsia="Times New Roman"/>
      <w:b/>
      <w:bCs/>
      <w:sz w:val="28"/>
      <w:szCs w:val="28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66FDD"/>
    <w:rPr>
      <w:rFonts w:ascii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8C20E2"/>
    <w:rPr>
      <w:rFonts w:ascii="Times New Roman" w:eastAsia="Times New Roman" w:hAnsi="Times New Roman"/>
      <w:i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72CF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F72CF8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E4698"/>
    <w:rPr>
      <w:rFonts w:ascii="Calibri" w:eastAsia="Times New Roman" w:hAnsi="Calibri" w:cs="Times New Roman"/>
      <w:b/>
      <w:bCs/>
      <w:sz w:val="28"/>
      <w:szCs w:val="28"/>
      <w:u w:val="none" w:color="000000"/>
    </w:rPr>
  </w:style>
  <w:style w:type="character" w:customStyle="1" w:styleId="Enfasi">
    <w:name w:val="Enfasi"/>
    <w:uiPriority w:val="20"/>
    <w:qFormat/>
    <w:rsid w:val="000E4698"/>
    <w:rPr>
      <w:i/>
      <w:iCs/>
    </w:rPr>
  </w:style>
  <w:style w:type="character" w:customStyle="1" w:styleId="apple-converted-space">
    <w:name w:val="apple-converted-space"/>
    <w:basedOn w:val="Carpredefinitoparagrafo"/>
    <w:qFormat/>
    <w:rsid w:val="000E469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E555A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E555A1"/>
    <w:rPr>
      <w:vertAlign w:val="superscript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/>
      <w:i/>
      <w:w w:val="95"/>
      <w:sz w:val="22"/>
      <w:szCs w:val="22"/>
    </w:rPr>
  </w:style>
  <w:style w:type="character" w:customStyle="1" w:styleId="ListLabel10">
    <w:name w:val="ListLabel 10"/>
    <w:qFormat/>
    <w:rPr>
      <w:rFonts w:eastAsia="Times New Roman"/>
      <w:i/>
      <w:w w:val="95"/>
      <w:sz w:val="22"/>
      <w:szCs w:val="22"/>
    </w:rPr>
  </w:style>
  <w:style w:type="character" w:customStyle="1" w:styleId="ListLabel11">
    <w:name w:val="ListLabel 11"/>
    <w:qFormat/>
    <w:rPr>
      <w:rFonts w:eastAsia="Times New Roman"/>
      <w:i/>
      <w:w w:val="102"/>
      <w:sz w:val="21"/>
      <w:szCs w:val="21"/>
    </w:rPr>
  </w:style>
  <w:style w:type="character" w:customStyle="1" w:styleId="ListLabel12">
    <w:name w:val="ListLabel 12"/>
    <w:qFormat/>
    <w:rPr>
      <w:rFonts w:eastAsia="Times New Roman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 w:cs="Times New Roman"/>
    </w:rPr>
  </w:style>
  <w:style w:type="character" w:customStyle="1" w:styleId="ListLabel17">
    <w:name w:val="ListLabel 17"/>
    <w:qFormat/>
    <w:rPr>
      <w:rFonts w:ascii="Times New Roman" w:eastAsia="Calibri" w:hAnsi="Times New Roman" w:cs="Times New Roman"/>
      <w:sz w:val="24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ListLabel18">
    <w:name w:val="ListLabel 18"/>
    <w:qFormat/>
    <w:rPr>
      <w:rFonts w:ascii="Times New Roman" w:hAnsi="Times New Roman" w:cs="Times New Roman"/>
      <w:sz w:val="24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8C20E2"/>
    <w:pPr>
      <w:widowControl w:val="0"/>
      <w:spacing w:after="0" w:line="240" w:lineRule="auto"/>
      <w:ind w:left="1850"/>
    </w:pPr>
    <w:rPr>
      <w:rFonts w:ascii="Times New Roman" w:eastAsia="Times New Roman" w:hAnsi="Times New Roman" w:cstheme="minorBidi"/>
      <w:i/>
      <w:lang w:val="en-US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uiPriority w:val="99"/>
    <w:qFormat/>
    <w:rsid w:val="00D32948"/>
    <w:rPr>
      <w:rFonts w:ascii="Calibri" w:eastAsia="Calibri" w:hAnsi="Calibri"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qFormat/>
    <w:rsid w:val="00BA475E"/>
    <w:pPr>
      <w:spacing w:beforeAutospacing="1" w:afterAutospacing="1" w:line="240" w:lineRule="auto"/>
    </w:pPr>
    <w:rPr>
      <w:color w:val="000000"/>
    </w:rPr>
  </w:style>
  <w:style w:type="paragraph" w:styleId="Paragrafoelenco">
    <w:name w:val="List Paragraph"/>
    <w:basedOn w:val="Normale"/>
    <w:uiPriority w:val="34"/>
    <w:qFormat/>
    <w:rsid w:val="00724C25"/>
    <w:pPr>
      <w:spacing w:after="0" w:line="240" w:lineRule="auto"/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66FDD"/>
    <w:pPr>
      <w:spacing w:after="0"/>
    </w:pPr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72CF8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Pidipagina">
    <w:name w:val="footer"/>
    <w:basedOn w:val="Normale"/>
    <w:link w:val="PidipaginaCarattere"/>
    <w:uiPriority w:val="99"/>
    <w:unhideWhenUsed/>
    <w:rsid w:val="00F72CF8"/>
    <w:pPr>
      <w:tabs>
        <w:tab w:val="center" w:pos="4819"/>
        <w:tab w:val="right" w:pos="9638"/>
      </w:tabs>
      <w:spacing w:after="0" w:line="240" w:lineRule="auto"/>
    </w:pPr>
    <w:rPr>
      <w:rFonts w:cstheme="minorBidi"/>
    </w:rPr>
  </w:style>
  <w:style w:type="paragraph" w:styleId="Testonotaapidipagina">
    <w:name w:val="footnote text"/>
    <w:basedOn w:val="Normale"/>
    <w:link w:val="TestonotaapidipaginaCarattere"/>
  </w:style>
  <w:style w:type="paragraph" w:customStyle="1" w:styleId="Titolo11">
    <w:name w:val="Titolo 11"/>
    <w:basedOn w:val="Normale"/>
    <w:uiPriority w:val="9"/>
    <w:qFormat/>
    <w:rsid w:val="00795EEC"/>
    <w:pPr>
      <w:keepNext/>
      <w:keepLines/>
      <w:suppressAutoHyphens/>
      <w:spacing w:before="480" w:after="0" w:line="260" w:lineRule="atLeast"/>
      <w:outlineLvl w:val="0"/>
    </w:pPr>
    <w:rPr>
      <w:rFonts w:eastAsia="Times New Roman"/>
      <w:b/>
      <w:bCs/>
      <w:sz w:val="28"/>
      <w:szCs w:val="28"/>
      <w:u w:color="000000"/>
    </w:rPr>
  </w:style>
  <w:style w:type="paragraph" w:customStyle="1" w:styleId="atext">
    <w:name w:val="atext"/>
    <w:basedOn w:val="Normale"/>
    <w:rsid w:val="00722A0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4EC39-39C8-7047-B4C8-8729F4606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Notarile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stampa</dc:creator>
  <dc:description/>
  <cp:lastModifiedBy>Tiziana</cp:lastModifiedBy>
  <cp:revision>11</cp:revision>
  <cp:lastPrinted>2017-03-27T07:59:00Z</cp:lastPrinted>
  <dcterms:created xsi:type="dcterms:W3CDTF">2025-04-11T17:00:00Z</dcterms:created>
  <dcterms:modified xsi:type="dcterms:W3CDTF">2025-04-16T09:26:00Z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Studio Notarile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