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5B0E" w14:textId="77777777" w:rsidR="00505E0A" w:rsidRPr="00170D33" w:rsidRDefault="00505E0A" w:rsidP="00606E78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3BC18E81" w14:textId="77777777" w:rsidR="00170D33" w:rsidRDefault="00170D33" w:rsidP="00170D33">
      <w:pPr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  <w:r w:rsidRPr="00170D33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Comunicato stampa</w:t>
      </w:r>
    </w:p>
    <w:p w14:paraId="00016AC6" w14:textId="77777777" w:rsidR="00170D33" w:rsidRPr="00170D33" w:rsidRDefault="00170D33" w:rsidP="00170D33">
      <w:pPr>
        <w:jc w:val="center"/>
        <w:rPr>
          <w:rFonts w:ascii="Arial" w:hAnsi="Arial" w:cs="Arial"/>
          <w:color w:val="000000"/>
          <w:sz w:val="23"/>
          <w:szCs w:val="23"/>
        </w:rPr>
      </w:pPr>
    </w:p>
    <w:p w14:paraId="0B84C72E" w14:textId="77777777" w:rsidR="00170D33" w:rsidRDefault="00170D33" w:rsidP="00170D33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170D33">
        <w:rPr>
          <w:rFonts w:ascii="Arial" w:hAnsi="Arial" w:cs="Arial"/>
          <w:b/>
          <w:bCs/>
          <w:color w:val="000000"/>
          <w:sz w:val="23"/>
          <w:szCs w:val="23"/>
        </w:rPr>
        <w:t>GLI ADEMPIMENTI DELL’AMMINISTRATORE GIUDIZIARIO NELLE MISURE ABLATIVE, FOCUS DEI COMMERCIALISTI</w:t>
      </w:r>
    </w:p>
    <w:p w14:paraId="68380A96" w14:textId="77777777" w:rsidR="00170D33" w:rsidRPr="00170D33" w:rsidRDefault="00170D33" w:rsidP="00170D33">
      <w:pPr>
        <w:jc w:val="center"/>
        <w:rPr>
          <w:rFonts w:ascii="Arial" w:hAnsi="Arial" w:cs="Arial"/>
          <w:color w:val="000000"/>
          <w:sz w:val="23"/>
          <w:szCs w:val="23"/>
        </w:rPr>
      </w:pPr>
    </w:p>
    <w:p w14:paraId="7FD9DACB" w14:textId="77777777" w:rsidR="00170D33" w:rsidRDefault="00170D33" w:rsidP="00170D33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170D33">
        <w:rPr>
          <w:rFonts w:ascii="Arial" w:hAnsi="Arial" w:cs="Arial"/>
          <w:b/>
          <w:bCs/>
          <w:color w:val="000000"/>
          <w:sz w:val="23"/>
          <w:szCs w:val="23"/>
        </w:rPr>
        <w:t> Dal Consiglio e dalla Fondazione nazionali della categoria un vademecum sulla gestione della procedura dalla fase “preparatoria” a quella “gestionale”</w:t>
      </w:r>
    </w:p>
    <w:p w14:paraId="63C25342" w14:textId="77777777" w:rsidR="00170D33" w:rsidRPr="00170D33" w:rsidRDefault="00170D33" w:rsidP="00170D33">
      <w:pPr>
        <w:jc w:val="center"/>
        <w:rPr>
          <w:rFonts w:ascii="Arial" w:hAnsi="Arial" w:cs="Arial"/>
          <w:color w:val="000000"/>
          <w:sz w:val="23"/>
          <w:szCs w:val="23"/>
        </w:rPr>
      </w:pPr>
    </w:p>
    <w:p w14:paraId="63AB8898" w14:textId="77777777" w:rsidR="00170D33" w:rsidRDefault="00170D33" w:rsidP="00170D33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170D33">
        <w:rPr>
          <w:rFonts w:ascii="Arial" w:hAnsi="Arial" w:cs="Arial"/>
          <w:i/>
          <w:iCs/>
          <w:color w:val="000000"/>
          <w:sz w:val="23"/>
          <w:szCs w:val="23"/>
        </w:rPr>
        <w:t>Roma, 28 marzo 2025 –</w:t>
      </w:r>
      <w:r w:rsidRPr="00170D33">
        <w:rPr>
          <w:rFonts w:ascii="Arial" w:hAnsi="Arial" w:cs="Arial"/>
          <w:color w:val="000000"/>
          <w:sz w:val="23"/>
          <w:szCs w:val="23"/>
        </w:rPr>
        <w:t> Il Consiglio e la Fondazione nazionali dei commercialisti hanno pubblicato il documento “</w:t>
      </w:r>
      <w:r w:rsidRPr="00170D33">
        <w:rPr>
          <w:rFonts w:ascii="Arial" w:hAnsi="Arial" w:cs="Arial"/>
          <w:b/>
          <w:bCs/>
          <w:color w:val="000000"/>
          <w:sz w:val="23"/>
          <w:szCs w:val="23"/>
        </w:rPr>
        <w:t>Gli adempimenti dell’amministratore giudiziario nelle misure ablative</w:t>
      </w:r>
      <w:r w:rsidRPr="00170D33">
        <w:rPr>
          <w:rFonts w:ascii="Arial" w:hAnsi="Arial" w:cs="Arial"/>
          <w:color w:val="000000"/>
          <w:sz w:val="23"/>
          <w:szCs w:val="23"/>
        </w:rPr>
        <w:t xml:space="preserve">”. Il lavoro, rientrante nell’attività dell’area “Funzioni giudiziarie e ADR” alla quale è delegata il Consigliere nazionale segretario </w:t>
      </w:r>
      <w:r w:rsidRPr="00170D33">
        <w:rPr>
          <w:rFonts w:ascii="Arial" w:hAnsi="Arial" w:cs="Arial"/>
          <w:b/>
          <w:bCs/>
          <w:color w:val="000000"/>
          <w:sz w:val="23"/>
          <w:szCs w:val="23"/>
        </w:rPr>
        <w:t>Giovanna Greco</w:t>
      </w:r>
      <w:r w:rsidRPr="00170D33">
        <w:rPr>
          <w:rFonts w:ascii="Arial" w:hAnsi="Arial" w:cs="Arial"/>
          <w:color w:val="000000"/>
          <w:sz w:val="23"/>
          <w:szCs w:val="23"/>
        </w:rPr>
        <w:t xml:space="preserve">, si pone l’biettivo di fornire agli operatori del settore un </w:t>
      </w:r>
      <w:r w:rsidRPr="00170D33">
        <w:rPr>
          <w:rFonts w:ascii="Arial" w:hAnsi="Arial" w:cs="Arial"/>
          <w:b/>
          <w:bCs/>
          <w:color w:val="000000"/>
          <w:sz w:val="23"/>
          <w:szCs w:val="23"/>
        </w:rPr>
        <w:t>vademecum operativo</w:t>
      </w:r>
      <w:r w:rsidRPr="00170D33">
        <w:rPr>
          <w:rFonts w:ascii="Arial" w:hAnsi="Arial" w:cs="Arial"/>
          <w:color w:val="000000"/>
          <w:sz w:val="23"/>
          <w:szCs w:val="23"/>
        </w:rPr>
        <w:t> nella gestione della procedura sin dalla fase cosiddetta “preparatoria” per accedere agevolmente alla fase cosiddetta “gestionale”. In particolare, sono esplicitati i principali adempimenti operativi dell’amministratore giudiziario dal giorno della nomina alla eventuale approvazione del programma di gestione da parte del Tribunale.</w:t>
      </w:r>
    </w:p>
    <w:p w14:paraId="0CA43D17" w14:textId="77777777" w:rsidR="00170D33" w:rsidRPr="00170D33" w:rsidRDefault="00170D33" w:rsidP="00170D33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46A409F5" w14:textId="77777777" w:rsidR="00170D33" w:rsidRDefault="00170D33" w:rsidP="00170D33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170D33">
        <w:rPr>
          <w:rFonts w:ascii="Arial" w:hAnsi="Arial" w:cs="Arial"/>
          <w:color w:val="000000"/>
          <w:sz w:val="23"/>
          <w:szCs w:val="23"/>
        </w:rPr>
        <w:t xml:space="preserve">La gestione dei beni sequestrati disposta nell’ambito di misure ablative (sequestri e confische di prevenzione </w:t>
      </w:r>
      <w:r w:rsidRPr="00170D33">
        <w:rPr>
          <w:rFonts w:ascii="Arial" w:hAnsi="Arial" w:cs="Arial"/>
          <w:i/>
          <w:iCs/>
          <w:color w:val="000000"/>
          <w:sz w:val="23"/>
          <w:szCs w:val="23"/>
        </w:rPr>
        <w:t>ex</w:t>
      </w:r>
      <w:r w:rsidRPr="00170D33">
        <w:rPr>
          <w:rFonts w:ascii="Arial" w:hAnsi="Arial" w:cs="Arial"/>
          <w:color w:val="000000"/>
          <w:sz w:val="23"/>
          <w:szCs w:val="23"/>
        </w:rPr>
        <w:t xml:space="preserve"> d.lgs. n. 159/2011 – per brevità CAM – o penali previste in molteplici disposizioni di legge), costituisce un’attività di amministrazione affidata, dagli organi giudiziari, a </w:t>
      </w:r>
      <w:r w:rsidRPr="00170D33">
        <w:rPr>
          <w:rFonts w:ascii="Arial" w:hAnsi="Arial" w:cs="Arial"/>
          <w:b/>
          <w:bCs/>
          <w:color w:val="000000"/>
          <w:sz w:val="23"/>
          <w:szCs w:val="23"/>
        </w:rPr>
        <w:t>esperti professionisti</w:t>
      </w:r>
      <w:r w:rsidRPr="00170D33">
        <w:rPr>
          <w:rFonts w:ascii="Arial" w:hAnsi="Arial" w:cs="Arial"/>
          <w:color w:val="000000"/>
          <w:sz w:val="23"/>
          <w:szCs w:val="23"/>
        </w:rPr>
        <w:t xml:space="preserve"> scelti, generalmente, tra i </w:t>
      </w:r>
      <w:r w:rsidRPr="00170D33">
        <w:rPr>
          <w:rFonts w:ascii="Arial" w:hAnsi="Arial" w:cs="Arial"/>
          <w:b/>
          <w:bCs/>
          <w:color w:val="000000"/>
          <w:sz w:val="23"/>
          <w:szCs w:val="23"/>
        </w:rPr>
        <w:t>dottori commercialisti o avvocati</w:t>
      </w:r>
      <w:r w:rsidRPr="00170D33">
        <w:rPr>
          <w:rFonts w:ascii="Arial" w:hAnsi="Arial" w:cs="Arial"/>
          <w:color w:val="000000"/>
          <w:sz w:val="23"/>
          <w:szCs w:val="23"/>
        </w:rPr>
        <w:t> iscritti nell’Albo degli Amministratori Giudiziari.</w:t>
      </w:r>
    </w:p>
    <w:p w14:paraId="06543541" w14:textId="77777777" w:rsidR="00170D33" w:rsidRPr="00170D33" w:rsidRDefault="00170D33" w:rsidP="00170D33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1E1ED492" w14:textId="77777777" w:rsidR="00170D33" w:rsidRDefault="00170D33" w:rsidP="00170D33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170D33">
        <w:rPr>
          <w:rFonts w:ascii="Arial" w:hAnsi="Arial" w:cs="Arial"/>
          <w:color w:val="000000"/>
          <w:sz w:val="23"/>
          <w:szCs w:val="23"/>
        </w:rPr>
        <w:t xml:space="preserve">I commercialisti sottolineano come l’attività dell’amministratore giudiziario “non è una custodia </w:t>
      </w:r>
      <w:r w:rsidRPr="00170D33">
        <w:rPr>
          <w:rFonts w:ascii="Arial" w:hAnsi="Arial" w:cs="Arial"/>
          <w:b/>
          <w:bCs/>
          <w:color w:val="000000"/>
          <w:sz w:val="23"/>
          <w:szCs w:val="23"/>
        </w:rPr>
        <w:t>statica</w:t>
      </w:r>
      <w:r w:rsidRPr="00170D33">
        <w:rPr>
          <w:rFonts w:ascii="Arial" w:hAnsi="Arial" w:cs="Arial"/>
          <w:color w:val="000000"/>
          <w:sz w:val="23"/>
          <w:szCs w:val="23"/>
        </w:rPr>
        <w:t xml:space="preserve"> di beni, ma si estrinseca in una vera e propria </w:t>
      </w:r>
      <w:r w:rsidRPr="00170D33">
        <w:rPr>
          <w:rFonts w:ascii="Arial" w:hAnsi="Arial" w:cs="Arial"/>
          <w:b/>
          <w:bCs/>
          <w:color w:val="000000"/>
          <w:sz w:val="23"/>
          <w:szCs w:val="23"/>
        </w:rPr>
        <w:t>attività gestoria</w:t>
      </w:r>
      <w:r w:rsidRPr="00170D33">
        <w:rPr>
          <w:rFonts w:ascii="Arial" w:hAnsi="Arial" w:cs="Arial"/>
          <w:color w:val="000000"/>
          <w:sz w:val="23"/>
          <w:szCs w:val="23"/>
        </w:rPr>
        <w:t xml:space="preserve">: trattasi di attività </w:t>
      </w:r>
      <w:r w:rsidRPr="00170D33">
        <w:rPr>
          <w:rFonts w:ascii="Arial" w:hAnsi="Arial" w:cs="Arial"/>
          <w:b/>
          <w:bCs/>
          <w:color w:val="000000"/>
          <w:sz w:val="23"/>
          <w:szCs w:val="23"/>
        </w:rPr>
        <w:t>dinamica</w:t>
      </w:r>
      <w:r w:rsidRPr="00170D33">
        <w:rPr>
          <w:rFonts w:ascii="Arial" w:hAnsi="Arial" w:cs="Arial"/>
          <w:color w:val="000000"/>
          <w:sz w:val="23"/>
          <w:szCs w:val="23"/>
        </w:rPr>
        <w:t xml:space="preserve"> avente per oggetto spesso il </w:t>
      </w:r>
      <w:r w:rsidRPr="00170D33">
        <w:rPr>
          <w:rFonts w:ascii="Arial" w:hAnsi="Arial" w:cs="Arial"/>
          <w:b/>
          <w:bCs/>
          <w:color w:val="000000"/>
          <w:sz w:val="23"/>
          <w:szCs w:val="23"/>
        </w:rPr>
        <w:t>“bene azienda”</w:t>
      </w:r>
      <w:r w:rsidRPr="00170D33">
        <w:rPr>
          <w:rFonts w:ascii="Arial" w:hAnsi="Arial" w:cs="Arial"/>
          <w:color w:val="000000"/>
          <w:sz w:val="23"/>
          <w:szCs w:val="23"/>
        </w:rPr>
        <w:t>, con tutte le sue caratteristiche e peculiarità. Il custode-amministratore è tenuto a una “</w:t>
      </w:r>
      <w:r w:rsidRPr="00170D33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diligente</w:t>
      </w:r>
      <w:r w:rsidRPr="00170D33">
        <w:rPr>
          <w:rFonts w:ascii="Arial" w:hAnsi="Arial" w:cs="Arial"/>
          <w:color w:val="000000"/>
          <w:sz w:val="23"/>
          <w:szCs w:val="23"/>
        </w:rPr>
        <w:t xml:space="preserve">” amministrazione nei confronti dell’autorità giudiziaria che gli ha conferito un incarico di </w:t>
      </w:r>
      <w:proofErr w:type="spellStart"/>
      <w:r w:rsidRPr="00170D33">
        <w:rPr>
          <w:rFonts w:ascii="Arial" w:hAnsi="Arial" w:cs="Arial"/>
          <w:i/>
          <w:iCs/>
          <w:color w:val="000000"/>
          <w:sz w:val="23"/>
          <w:szCs w:val="23"/>
        </w:rPr>
        <w:t>munus</w:t>
      </w:r>
      <w:proofErr w:type="spellEnd"/>
      <w:r w:rsidRPr="00170D33">
        <w:rPr>
          <w:rFonts w:ascii="Arial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170D33">
        <w:rPr>
          <w:rFonts w:ascii="Arial" w:hAnsi="Arial" w:cs="Arial"/>
          <w:i/>
          <w:iCs/>
          <w:color w:val="000000"/>
          <w:sz w:val="23"/>
          <w:szCs w:val="23"/>
        </w:rPr>
        <w:t>publicum</w:t>
      </w:r>
      <w:proofErr w:type="spellEnd"/>
      <w:r w:rsidRPr="00170D33">
        <w:rPr>
          <w:rFonts w:ascii="Arial" w:hAnsi="Arial" w:cs="Arial"/>
          <w:color w:val="000000"/>
          <w:sz w:val="23"/>
          <w:szCs w:val="23"/>
        </w:rPr>
        <w:t>. Il professionista, qualificato come</w:t>
      </w:r>
      <w:r w:rsidRPr="00170D33">
        <w:rPr>
          <w:rFonts w:ascii="Arial" w:hAnsi="Arial" w:cs="Arial"/>
          <w:b/>
          <w:bCs/>
          <w:color w:val="000000"/>
          <w:sz w:val="23"/>
          <w:szCs w:val="23"/>
        </w:rPr>
        <w:t> ausiliario di giustizia</w:t>
      </w:r>
      <w:r w:rsidRPr="00170D33">
        <w:rPr>
          <w:rFonts w:ascii="Arial" w:hAnsi="Arial" w:cs="Arial"/>
          <w:color w:val="000000"/>
          <w:sz w:val="23"/>
          <w:szCs w:val="23"/>
        </w:rPr>
        <w:t xml:space="preserve">, è un soggetto privato che, a seguito di un provvedimento del giudice, viene temporaneamente incaricato di un </w:t>
      </w:r>
      <w:r w:rsidRPr="00170D33">
        <w:rPr>
          <w:rFonts w:ascii="Arial" w:hAnsi="Arial" w:cs="Arial"/>
          <w:b/>
          <w:bCs/>
          <w:color w:val="000000"/>
          <w:sz w:val="23"/>
          <w:szCs w:val="23"/>
        </w:rPr>
        <w:t>pubblico ufficio</w:t>
      </w:r>
      <w:r w:rsidRPr="00170D33">
        <w:rPr>
          <w:rFonts w:ascii="Arial" w:hAnsi="Arial" w:cs="Arial"/>
          <w:color w:val="000000"/>
          <w:sz w:val="23"/>
          <w:szCs w:val="23"/>
        </w:rPr>
        <w:t xml:space="preserve"> temporaneo. Il custode-amministratore in quanto ausiliario del giudice, viene definito anche </w:t>
      </w:r>
      <w:r w:rsidRPr="00170D33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longa manus</w:t>
      </w:r>
      <w:r w:rsidRPr="00170D33">
        <w:rPr>
          <w:rFonts w:ascii="Arial" w:hAnsi="Arial" w:cs="Arial"/>
          <w:color w:val="000000"/>
          <w:sz w:val="23"/>
          <w:szCs w:val="23"/>
        </w:rPr>
        <w:t xml:space="preserve"> degli organi giudiziari, con </w:t>
      </w:r>
      <w:r w:rsidRPr="00170D33">
        <w:rPr>
          <w:rFonts w:ascii="Arial" w:hAnsi="Arial" w:cs="Arial"/>
          <w:b/>
          <w:bCs/>
          <w:color w:val="000000"/>
          <w:sz w:val="23"/>
          <w:szCs w:val="23"/>
        </w:rPr>
        <w:t>specifiche responsabilità</w:t>
      </w:r>
      <w:r w:rsidRPr="00170D33">
        <w:rPr>
          <w:rFonts w:ascii="Arial" w:hAnsi="Arial" w:cs="Arial"/>
          <w:color w:val="000000"/>
          <w:sz w:val="23"/>
          <w:szCs w:val="23"/>
        </w:rPr>
        <w:t>, sia di natura civile che penale, per l’attività svolta”.</w:t>
      </w:r>
    </w:p>
    <w:p w14:paraId="742ADA4F" w14:textId="77777777" w:rsidR="00170D33" w:rsidRPr="00170D33" w:rsidRDefault="00170D33" w:rsidP="00170D33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1FCDB357" w14:textId="77777777" w:rsidR="00170D33" w:rsidRPr="00170D33" w:rsidRDefault="00170D33" w:rsidP="00170D33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170D33">
        <w:rPr>
          <w:rFonts w:ascii="Arial" w:hAnsi="Arial" w:cs="Arial"/>
          <w:color w:val="000000"/>
          <w:sz w:val="23"/>
          <w:szCs w:val="23"/>
        </w:rPr>
        <w:t>Sotto un profilo normativo, aggiungono, “è lo stesso CAM che riconosce la</w:t>
      </w:r>
      <w:r w:rsidRPr="00170D33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170D33">
        <w:rPr>
          <w:rFonts w:ascii="Arial" w:hAnsi="Arial" w:cs="Arial"/>
          <w:color w:val="000000"/>
          <w:sz w:val="23"/>
          <w:szCs w:val="23"/>
        </w:rPr>
        <w:t>qualifica di</w:t>
      </w:r>
      <w:r w:rsidRPr="00170D33">
        <w:rPr>
          <w:rFonts w:ascii="Arial" w:hAnsi="Arial" w:cs="Arial"/>
          <w:b/>
          <w:bCs/>
          <w:color w:val="000000"/>
          <w:sz w:val="23"/>
          <w:szCs w:val="23"/>
        </w:rPr>
        <w:t> pubblico ufficiale</w:t>
      </w:r>
      <w:r w:rsidRPr="00170D33">
        <w:rPr>
          <w:rFonts w:ascii="Arial" w:hAnsi="Arial" w:cs="Arial"/>
          <w:color w:val="000000"/>
          <w:sz w:val="23"/>
          <w:szCs w:val="23"/>
        </w:rPr>
        <w:t xml:space="preserve"> all’amministratore giudiziario, con </w:t>
      </w:r>
      <w:r w:rsidRPr="00170D33">
        <w:rPr>
          <w:rFonts w:ascii="Arial" w:hAnsi="Arial" w:cs="Arial"/>
          <w:b/>
          <w:bCs/>
          <w:color w:val="000000"/>
          <w:sz w:val="23"/>
          <w:szCs w:val="23"/>
        </w:rPr>
        <w:t>doveri di adempiere con diligenza</w:t>
      </w:r>
      <w:r w:rsidRPr="00170D33">
        <w:rPr>
          <w:rFonts w:ascii="Arial" w:hAnsi="Arial" w:cs="Arial"/>
          <w:color w:val="000000"/>
          <w:sz w:val="23"/>
          <w:szCs w:val="23"/>
        </w:rPr>
        <w:t xml:space="preserve"> al proprio mandato. Detta qualifica, se da un lato attribuisce </w:t>
      </w:r>
      <w:r w:rsidRPr="00170D33">
        <w:rPr>
          <w:rFonts w:ascii="Arial" w:hAnsi="Arial" w:cs="Arial"/>
          <w:b/>
          <w:bCs/>
          <w:color w:val="000000"/>
          <w:sz w:val="23"/>
          <w:szCs w:val="23"/>
        </w:rPr>
        <w:t>autorevolezza istituzionale</w:t>
      </w:r>
      <w:r w:rsidRPr="00170D33">
        <w:rPr>
          <w:rFonts w:ascii="Arial" w:hAnsi="Arial" w:cs="Arial"/>
          <w:color w:val="000000"/>
          <w:sz w:val="23"/>
          <w:szCs w:val="23"/>
        </w:rPr>
        <w:t xml:space="preserve"> al ruolo svolto dal professionista, essendo previste una serie di norme, anche di natura penale, a tutela dello stesso, dall’altro è certamente fonte di </w:t>
      </w:r>
      <w:r w:rsidRPr="00170D33">
        <w:rPr>
          <w:rFonts w:ascii="Arial" w:hAnsi="Arial" w:cs="Arial"/>
          <w:b/>
          <w:bCs/>
          <w:color w:val="000000"/>
          <w:sz w:val="23"/>
          <w:szCs w:val="23"/>
        </w:rPr>
        <w:t>maggiori responsabilità civili, penali e contabili</w:t>
      </w:r>
      <w:r w:rsidRPr="00170D33">
        <w:rPr>
          <w:rFonts w:ascii="Arial" w:hAnsi="Arial" w:cs="Arial"/>
          <w:color w:val="000000"/>
          <w:sz w:val="23"/>
          <w:szCs w:val="23"/>
        </w:rPr>
        <w:t>”.</w:t>
      </w:r>
    </w:p>
    <w:p w14:paraId="0AD6D565" w14:textId="11076E79" w:rsidR="00C42F53" w:rsidRPr="00C5127A" w:rsidRDefault="00C42F53" w:rsidP="00170D33">
      <w:pPr>
        <w:jc w:val="center"/>
        <w:rPr>
          <w:rFonts w:ascii="Arial" w:hAnsi="Arial" w:cs="Arial"/>
          <w:sz w:val="23"/>
          <w:szCs w:val="23"/>
        </w:rPr>
      </w:pPr>
    </w:p>
    <w:sectPr w:rsidR="00C42F53" w:rsidRPr="00C5127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954B" w14:textId="77777777" w:rsidR="00FA558C" w:rsidRDefault="00FA558C" w:rsidP="008A20F9">
      <w:r>
        <w:separator/>
      </w:r>
    </w:p>
  </w:endnote>
  <w:endnote w:type="continuationSeparator" w:id="0">
    <w:p w14:paraId="129BA448" w14:textId="77777777" w:rsidR="00FA558C" w:rsidRDefault="00FA558C" w:rsidP="008A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(Corpo)">
    <w:altName w:val="Calibri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1283" w14:textId="77777777" w:rsidR="00FA558C" w:rsidRDefault="00FA558C" w:rsidP="008A20F9">
      <w:r>
        <w:separator/>
      </w:r>
    </w:p>
  </w:footnote>
  <w:footnote w:type="continuationSeparator" w:id="0">
    <w:p w14:paraId="7BF5D3F8" w14:textId="77777777" w:rsidR="00FA558C" w:rsidRDefault="00FA558C" w:rsidP="008A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C168" w14:textId="7377384B" w:rsidR="008A20F9" w:rsidRDefault="008A20F9" w:rsidP="008A20F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FB781BE" wp14:editId="7DF93075">
          <wp:extent cx="2314575" cy="78613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9"/>
    <w:rsid w:val="00036A1E"/>
    <w:rsid w:val="00052BAB"/>
    <w:rsid w:val="00055F3C"/>
    <w:rsid w:val="00073211"/>
    <w:rsid w:val="000816F2"/>
    <w:rsid w:val="00081979"/>
    <w:rsid w:val="00082A9D"/>
    <w:rsid w:val="000A7CC9"/>
    <w:rsid w:val="000D27AC"/>
    <w:rsid w:val="000E5CC8"/>
    <w:rsid w:val="000E66F1"/>
    <w:rsid w:val="000E7227"/>
    <w:rsid w:val="000F3B82"/>
    <w:rsid w:val="00115409"/>
    <w:rsid w:val="00123117"/>
    <w:rsid w:val="001326DC"/>
    <w:rsid w:val="001569C4"/>
    <w:rsid w:val="00170D33"/>
    <w:rsid w:val="00181D71"/>
    <w:rsid w:val="00184C9B"/>
    <w:rsid w:val="001936AE"/>
    <w:rsid w:val="00193ECA"/>
    <w:rsid w:val="001F164F"/>
    <w:rsid w:val="00213E08"/>
    <w:rsid w:val="00230686"/>
    <w:rsid w:val="002330A2"/>
    <w:rsid w:val="00246A14"/>
    <w:rsid w:val="002509B2"/>
    <w:rsid w:val="00251068"/>
    <w:rsid w:val="00251F37"/>
    <w:rsid w:val="00253393"/>
    <w:rsid w:val="00253551"/>
    <w:rsid w:val="00264425"/>
    <w:rsid w:val="0026577C"/>
    <w:rsid w:val="00271D93"/>
    <w:rsid w:val="002957A8"/>
    <w:rsid w:val="002A6473"/>
    <w:rsid w:val="002D55EB"/>
    <w:rsid w:val="002F4C13"/>
    <w:rsid w:val="00325C28"/>
    <w:rsid w:val="00336F75"/>
    <w:rsid w:val="00383E28"/>
    <w:rsid w:val="00390510"/>
    <w:rsid w:val="0039528E"/>
    <w:rsid w:val="003B396B"/>
    <w:rsid w:val="003F1F36"/>
    <w:rsid w:val="003F7323"/>
    <w:rsid w:val="00403777"/>
    <w:rsid w:val="00410A7B"/>
    <w:rsid w:val="00423A7B"/>
    <w:rsid w:val="00435075"/>
    <w:rsid w:val="00437EA9"/>
    <w:rsid w:val="00453CAC"/>
    <w:rsid w:val="00455CEA"/>
    <w:rsid w:val="00460307"/>
    <w:rsid w:val="00470DE9"/>
    <w:rsid w:val="00475192"/>
    <w:rsid w:val="004808BB"/>
    <w:rsid w:val="00495D0D"/>
    <w:rsid w:val="00497CC7"/>
    <w:rsid w:val="004B03D3"/>
    <w:rsid w:val="004E125E"/>
    <w:rsid w:val="004E232F"/>
    <w:rsid w:val="004F2874"/>
    <w:rsid w:val="005043FB"/>
    <w:rsid w:val="00505E0A"/>
    <w:rsid w:val="00516A45"/>
    <w:rsid w:val="00517A64"/>
    <w:rsid w:val="00524C36"/>
    <w:rsid w:val="00560379"/>
    <w:rsid w:val="00582A23"/>
    <w:rsid w:val="005839A6"/>
    <w:rsid w:val="005948DF"/>
    <w:rsid w:val="00594B66"/>
    <w:rsid w:val="005A1CDB"/>
    <w:rsid w:val="005D113A"/>
    <w:rsid w:val="00606E78"/>
    <w:rsid w:val="0061470B"/>
    <w:rsid w:val="00616738"/>
    <w:rsid w:val="0063007C"/>
    <w:rsid w:val="006359F9"/>
    <w:rsid w:val="006368B3"/>
    <w:rsid w:val="006406DF"/>
    <w:rsid w:val="0067508F"/>
    <w:rsid w:val="006A3700"/>
    <w:rsid w:val="006C3DB8"/>
    <w:rsid w:val="006D7DB0"/>
    <w:rsid w:val="006E5E70"/>
    <w:rsid w:val="00730088"/>
    <w:rsid w:val="007353A0"/>
    <w:rsid w:val="00737AB1"/>
    <w:rsid w:val="00750C0F"/>
    <w:rsid w:val="00781F4E"/>
    <w:rsid w:val="00791A2D"/>
    <w:rsid w:val="0079253B"/>
    <w:rsid w:val="00795EAF"/>
    <w:rsid w:val="007A2D09"/>
    <w:rsid w:val="007A5DF0"/>
    <w:rsid w:val="007C0DA7"/>
    <w:rsid w:val="007D3A62"/>
    <w:rsid w:val="007E0C83"/>
    <w:rsid w:val="007E4A13"/>
    <w:rsid w:val="007F6A8D"/>
    <w:rsid w:val="0080260A"/>
    <w:rsid w:val="0081321B"/>
    <w:rsid w:val="00814ADB"/>
    <w:rsid w:val="00842C15"/>
    <w:rsid w:val="008435D3"/>
    <w:rsid w:val="0086719A"/>
    <w:rsid w:val="00881569"/>
    <w:rsid w:val="008A20F9"/>
    <w:rsid w:val="008A68AA"/>
    <w:rsid w:val="008B36DC"/>
    <w:rsid w:val="008B5892"/>
    <w:rsid w:val="008E6D2A"/>
    <w:rsid w:val="008F7875"/>
    <w:rsid w:val="00911316"/>
    <w:rsid w:val="00920E92"/>
    <w:rsid w:val="00935302"/>
    <w:rsid w:val="00960DAA"/>
    <w:rsid w:val="00962933"/>
    <w:rsid w:val="00976B3F"/>
    <w:rsid w:val="009B029E"/>
    <w:rsid w:val="009B69D9"/>
    <w:rsid w:val="009D653E"/>
    <w:rsid w:val="009D65D1"/>
    <w:rsid w:val="009D7B64"/>
    <w:rsid w:val="009D7DF7"/>
    <w:rsid w:val="009E7612"/>
    <w:rsid w:val="009F3790"/>
    <w:rsid w:val="00A02CDA"/>
    <w:rsid w:val="00A21A98"/>
    <w:rsid w:val="00A27EC8"/>
    <w:rsid w:val="00A630AB"/>
    <w:rsid w:val="00A73C0D"/>
    <w:rsid w:val="00A75A96"/>
    <w:rsid w:val="00A83ACB"/>
    <w:rsid w:val="00A87349"/>
    <w:rsid w:val="00A9564E"/>
    <w:rsid w:val="00A961CD"/>
    <w:rsid w:val="00AA50D5"/>
    <w:rsid w:val="00AB3193"/>
    <w:rsid w:val="00AB51FE"/>
    <w:rsid w:val="00AD683B"/>
    <w:rsid w:val="00AE5C47"/>
    <w:rsid w:val="00AF48E9"/>
    <w:rsid w:val="00AF496D"/>
    <w:rsid w:val="00B15B17"/>
    <w:rsid w:val="00B622FF"/>
    <w:rsid w:val="00B81758"/>
    <w:rsid w:val="00B92B34"/>
    <w:rsid w:val="00BD752B"/>
    <w:rsid w:val="00BE6B22"/>
    <w:rsid w:val="00C03958"/>
    <w:rsid w:val="00C21F54"/>
    <w:rsid w:val="00C32D04"/>
    <w:rsid w:val="00C42F53"/>
    <w:rsid w:val="00C5127A"/>
    <w:rsid w:val="00C54A7A"/>
    <w:rsid w:val="00C653DB"/>
    <w:rsid w:val="00C71E02"/>
    <w:rsid w:val="00C751BF"/>
    <w:rsid w:val="00C8258D"/>
    <w:rsid w:val="00C93E34"/>
    <w:rsid w:val="00CC5721"/>
    <w:rsid w:val="00CC7EBC"/>
    <w:rsid w:val="00CD6241"/>
    <w:rsid w:val="00D4253F"/>
    <w:rsid w:val="00D52088"/>
    <w:rsid w:val="00D65DC6"/>
    <w:rsid w:val="00D66040"/>
    <w:rsid w:val="00DA19F5"/>
    <w:rsid w:val="00DC26A1"/>
    <w:rsid w:val="00DC7953"/>
    <w:rsid w:val="00DD42BD"/>
    <w:rsid w:val="00DD4CF8"/>
    <w:rsid w:val="00DE22D9"/>
    <w:rsid w:val="00E01B44"/>
    <w:rsid w:val="00E31675"/>
    <w:rsid w:val="00E33560"/>
    <w:rsid w:val="00E63630"/>
    <w:rsid w:val="00E73941"/>
    <w:rsid w:val="00E8677B"/>
    <w:rsid w:val="00E86F94"/>
    <w:rsid w:val="00E87288"/>
    <w:rsid w:val="00E926E5"/>
    <w:rsid w:val="00EA2156"/>
    <w:rsid w:val="00EC353A"/>
    <w:rsid w:val="00ED0CDD"/>
    <w:rsid w:val="00EE4E51"/>
    <w:rsid w:val="00EE76A6"/>
    <w:rsid w:val="00EF333C"/>
    <w:rsid w:val="00EF7264"/>
    <w:rsid w:val="00F01297"/>
    <w:rsid w:val="00F01E5E"/>
    <w:rsid w:val="00F72001"/>
    <w:rsid w:val="00F94166"/>
    <w:rsid w:val="00FA558C"/>
    <w:rsid w:val="00FB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EAA4"/>
  <w15:docId w15:val="{278ADFC4-915E-40D7-BFAD-5B59AD02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4C36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59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9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9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9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9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9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9F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9F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59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9F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353A"/>
    <w:rPr>
      <w:b/>
      <w:bCs/>
    </w:rPr>
  </w:style>
  <w:style w:type="character" w:styleId="Enfasicorsivo">
    <w:name w:val="Emphasis"/>
    <w:basedOn w:val="Carpredefinitoparagrafo"/>
    <w:uiPriority w:val="20"/>
    <w:qFormat/>
    <w:rsid w:val="00EC353A"/>
    <w:rPr>
      <w:i/>
      <w:iCs/>
    </w:rPr>
  </w:style>
  <w:style w:type="paragraph" w:styleId="NormaleWeb">
    <w:name w:val="Normal (Web)"/>
    <w:basedOn w:val="Normale"/>
    <w:uiPriority w:val="99"/>
    <w:unhideWhenUsed/>
    <w:rsid w:val="00EC35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A20F9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0F9"/>
  </w:style>
  <w:style w:type="paragraph" w:styleId="Pidipagina">
    <w:name w:val="footer"/>
    <w:basedOn w:val="Normale"/>
    <w:link w:val="PidipaginaCarattere"/>
    <w:uiPriority w:val="99"/>
    <w:unhideWhenUsed/>
    <w:rsid w:val="008A2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0F9"/>
  </w:style>
  <w:style w:type="paragraph" w:customStyle="1" w:styleId="xmsonormal">
    <w:name w:val="x_msonormal"/>
    <w:basedOn w:val="Normale"/>
    <w:rsid w:val="00A83ACB"/>
  </w:style>
  <w:style w:type="paragraph" w:styleId="Testonotaapidipagina">
    <w:name w:val="footnote text"/>
    <w:aliases w:val="Nota_2,Testo nota a piè di pagina Carattere Carattere,Testo nota a piè di pagina Carattere1 Carattere Carattere,Testo nota a piè di pagina Carattere2 Carattere Carattere,note,o,stile 1,f"/>
    <w:basedOn w:val="Normale"/>
    <w:link w:val="TestonotaapidipaginaCarattere"/>
    <w:uiPriority w:val="99"/>
    <w:unhideWhenUsed/>
    <w:qFormat/>
    <w:rsid w:val="00184C9B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Nota_2 Carattere,Testo nota a piè di pagina Carattere Carattere Carattere,Testo nota a piè di pagina Carattere1 Carattere Carattere Carattere,Testo nota a piè di pagina Carattere2 Carattere Carattere Carattere"/>
    <w:basedOn w:val="Carpredefinitoparagrafo"/>
    <w:link w:val="Testonotaapidipagina"/>
    <w:uiPriority w:val="99"/>
    <w:rsid w:val="00184C9B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Testo a piè di pagina,(Footnote Reference),SUPERS,EN Footnote Reference,Footnote symbol,Footnote reference number,note TESI,Footnote,Footnote number,fr,Footnotemark,FR,Footnotemark1,Footnotemar"/>
    <w:uiPriority w:val="99"/>
    <w:unhideWhenUsed/>
    <w:rsid w:val="00184C9B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before="200" w:after="80" w:line="264" w:lineRule="auto"/>
      <w:ind w:left="284" w:right="907" w:hanging="284"/>
      <w:jc w:val="both"/>
    </w:pPr>
    <w:rPr>
      <w:rFonts w:asciiTheme="minorHAnsi" w:eastAsiaTheme="minorEastAsia" w:hAnsiTheme="minorHAnsi" w:cs="Calibri (Corpo)"/>
      <w:bCs/>
      <w:smallCaps/>
      <w:noProof/>
      <w:color w:val="404040" w:themeColor="text1" w:themeTint="BF"/>
      <w:sz w:val="23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4253F"/>
    <w:rPr>
      <w:color w:val="467886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after="100" w:line="264" w:lineRule="auto"/>
      <w:ind w:left="709" w:right="2835" w:hanging="425"/>
      <w:jc w:val="both"/>
    </w:pPr>
    <w:rPr>
      <w:rFonts w:asciiTheme="minorHAnsi" w:eastAsiaTheme="minorEastAsia" w:hAnsiTheme="minorHAnsi" w:cstheme="minorBidi"/>
      <w:color w:val="404040" w:themeColor="text1" w:themeTint="BF"/>
      <w:sz w:val="21"/>
      <w:szCs w:val="21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F48E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D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DB8"/>
    <w:rPr>
      <w:rFonts w:ascii="Tahoma" w:hAnsi="Tahoma" w:cs="Tahoma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8</cp:revision>
  <dcterms:created xsi:type="dcterms:W3CDTF">2025-03-31T08:36:00Z</dcterms:created>
  <dcterms:modified xsi:type="dcterms:W3CDTF">2025-03-31T09:58:00Z</dcterms:modified>
</cp:coreProperties>
</file>