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F5B0E" w14:textId="77777777" w:rsidR="00505E0A" w:rsidRPr="00606E78" w:rsidRDefault="00505E0A" w:rsidP="00606E78">
      <w:pPr>
        <w:jc w:val="both"/>
        <w:rPr>
          <w:rFonts w:ascii="Arial" w:hAnsi="Arial" w:cs="Arial"/>
          <w:b/>
          <w:bCs/>
          <w:sz w:val="23"/>
          <w:szCs w:val="23"/>
        </w:rPr>
      </w:pPr>
    </w:p>
    <w:p w14:paraId="373A494B" w14:textId="4A0F3310" w:rsidR="00842C15" w:rsidRPr="00C5127A" w:rsidRDefault="00842C15" w:rsidP="00C5127A">
      <w:pPr>
        <w:jc w:val="center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C5127A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Comunicato stampa</w:t>
      </w:r>
    </w:p>
    <w:p w14:paraId="0F7F4238" w14:textId="77777777" w:rsidR="00814ADB" w:rsidRPr="00C5127A" w:rsidRDefault="00814ADB" w:rsidP="00C5127A">
      <w:pPr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5CFE1C6C" w14:textId="1F4BCFFA" w:rsidR="002A6473" w:rsidRPr="00C5127A" w:rsidRDefault="00C5127A" w:rsidP="00C5127A">
      <w:pPr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  <w:r w:rsidRPr="00C5127A">
        <w:rPr>
          <w:rFonts w:ascii="Arial" w:hAnsi="Arial" w:cs="Arial"/>
          <w:b/>
          <w:bCs/>
          <w:color w:val="000000"/>
          <w:sz w:val="23"/>
          <w:szCs w:val="23"/>
        </w:rPr>
        <w:t>COMMERCIALISTI: DEFINITI I CRITERI PER LA FORMAZIONE EQUIPOLLENTE DEI GESTORI DELLA CRISI</w:t>
      </w:r>
    </w:p>
    <w:p w14:paraId="6BDA27C7" w14:textId="77777777" w:rsidR="00C5127A" w:rsidRPr="00C5127A" w:rsidRDefault="00C5127A" w:rsidP="00C5127A">
      <w:pPr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26E2F171" w14:textId="09AF0721" w:rsidR="00C5127A" w:rsidRPr="00C5127A" w:rsidRDefault="00C5127A" w:rsidP="00C5127A">
      <w:pPr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  <w:r w:rsidRPr="00C5127A">
        <w:rPr>
          <w:rFonts w:ascii="Arial" w:hAnsi="Arial" w:cs="Arial"/>
          <w:b/>
          <w:bCs/>
          <w:color w:val="000000"/>
          <w:sz w:val="23"/>
          <w:szCs w:val="23"/>
        </w:rPr>
        <w:t>Il Consiglio Nazionale della categoria lo ha comunicato attraverso una informativa agli Ordini territoriali</w:t>
      </w:r>
    </w:p>
    <w:p w14:paraId="092C2BF9" w14:textId="77777777" w:rsidR="00C5127A" w:rsidRPr="00C5127A" w:rsidRDefault="00C5127A" w:rsidP="00C5127A">
      <w:pPr>
        <w:jc w:val="center"/>
        <w:rPr>
          <w:rFonts w:ascii="Arial" w:hAnsi="Arial" w:cs="Arial"/>
          <w:b/>
          <w:bCs/>
          <w:color w:val="000000"/>
          <w:sz w:val="23"/>
          <w:szCs w:val="23"/>
        </w:rPr>
      </w:pPr>
    </w:p>
    <w:p w14:paraId="4440F249" w14:textId="77777777" w:rsidR="00C5127A" w:rsidRPr="00C5127A" w:rsidRDefault="00181D71" w:rsidP="00C5127A">
      <w:pPr>
        <w:pStyle w:val="NormaleWeb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C5127A">
        <w:rPr>
          <w:rFonts w:ascii="Arial" w:hAnsi="Arial" w:cs="Arial"/>
          <w:bCs/>
          <w:i/>
          <w:iCs/>
          <w:sz w:val="23"/>
          <w:szCs w:val="23"/>
        </w:rPr>
        <w:t>Roma, 31 marzo 2025 –</w:t>
      </w:r>
      <w:r w:rsidRPr="00C5127A">
        <w:rPr>
          <w:rFonts w:ascii="Arial" w:hAnsi="Arial" w:cs="Arial"/>
          <w:bCs/>
          <w:sz w:val="23"/>
          <w:szCs w:val="23"/>
        </w:rPr>
        <w:t xml:space="preserve"> </w:t>
      </w:r>
      <w:r w:rsidR="00C5127A" w:rsidRPr="00C5127A">
        <w:rPr>
          <w:rFonts w:ascii="Arial" w:hAnsi="Arial" w:cs="Arial"/>
          <w:sz w:val="23"/>
          <w:szCs w:val="23"/>
        </w:rPr>
        <w:t xml:space="preserve">Il Consiglio Nazionale dei Commercialisti, attraverso </w:t>
      </w:r>
      <w:hyperlink r:id="rId6" w:history="1">
        <w:r w:rsidR="00C5127A" w:rsidRPr="00C5127A">
          <w:rPr>
            <w:rFonts w:ascii="Arial" w:hAnsi="Arial" w:cs="Arial"/>
            <w:color w:val="0000FF"/>
            <w:sz w:val="23"/>
            <w:szCs w:val="23"/>
            <w:u w:val="single"/>
          </w:rPr>
          <w:t>un'informativa agli Ordini territoriali</w:t>
        </w:r>
      </w:hyperlink>
      <w:r w:rsidR="00C5127A" w:rsidRPr="00C5127A">
        <w:rPr>
          <w:rFonts w:ascii="Arial" w:hAnsi="Arial" w:cs="Arial"/>
          <w:sz w:val="23"/>
          <w:szCs w:val="23"/>
        </w:rPr>
        <w:t xml:space="preserve"> della categoria, ha comunicato i </w:t>
      </w:r>
      <w:r w:rsidR="00C5127A" w:rsidRPr="00C5127A">
        <w:rPr>
          <w:rFonts w:ascii="Arial" w:hAnsi="Arial" w:cs="Arial"/>
          <w:b/>
          <w:bCs/>
          <w:sz w:val="23"/>
          <w:szCs w:val="23"/>
        </w:rPr>
        <w:t>criteri di equipollenza per l’aggiornamento biennale dei professionisti che risultano iscritti nell’Elenco dei gestori</w:t>
      </w:r>
      <w:r w:rsidR="00C5127A" w:rsidRPr="00C5127A">
        <w:rPr>
          <w:rFonts w:ascii="Arial" w:hAnsi="Arial" w:cs="Arial"/>
          <w:sz w:val="23"/>
          <w:szCs w:val="23"/>
        </w:rPr>
        <w:t xml:space="preserve"> della crisi d’impresa.</w:t>
      </w:r>
    </w:p>
    <w:p w14:paraId="0A9BBEA1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 xml:space="preserve">Il d.lgs. 13 settembre 2024 n. 136 sulle “Disposizioni integrative e correttive al codice della crisi d'impresa e dell'insolvenza di cui al decreto legislativo 12 gennaio 2019, n. 14” ha apportato importanti modifiche all’art. 356, comma 2 del d.lgs. 14/2019. Le nuove disposizioni, anche in considerazione del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fattivo intervento dello stesso Consiglio Nazionale</w:t>
      </w:r>
      <w:r w:rsidRPr="00C5127A">
        <w:rPr>
          <w:rFonts w:ascii="Arial" w:eastAsia="Times New Roman" w:hAnsi="Arial" w:cs="Arial"/>
          <w:sz w:val="23"/>
          <w:szCs w:val="23"/>
        </w:rPr>
        <w:t xml:space="preserve">, prevedono non solo che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l’obbligo formativo biennale dei commercialisti iscritti nell’Elenco dei gestori della crisi d'impresa passi da 40 a 18 ore</w:t>
      </w:r>
      <w:r w:rsidRPr="00C5127A">
        <w:rPr>
          <w:rFonts w:ascii="Arial" w:eastAsia="Times New Roman" w:hAnsi="Arial" w:cs="Arial"/>
          <w:sz w:val="23"/>
          <w:szCs w:val="23"/>
        </w:rPr>
        <w:t>, ma anche che gli Ordini professionali possano stabilire criteri di equipollenza tra l’aggiornamento biennale dei gestori della crisi e i corsi di formazione professionale continua.</w:t>
      </w:r>
    </w:p>
    <w:p w14:paraId="4C3D87E0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</w:p>
    <w:p w14:paraId="13ECCD61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 xml:space="preserve">Il Consiglio Nazionale, con l'obiettivo di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rendere meno oneroso l’assolvimento degli obblighi formativi dei propri iscritti</w:t>
      </w:r>
      <w:r w:rsidRPr="00C5127A">
        <w:rPr>
          <w:rFonts w:ascii="Arial" w:eastAsia="Times New Roman" w:hAnsi="Arial" w:cs="Arial"/>
          <w:sz w:val="23"/>
          <w:szCs w:val="23"/>
        </w:rPr>
        <w:t>, già lo scorso ottobre aveva sottoposto al Ministero della Giustizia, organo vigilante a cui è demandata la tenuta dell’Elenco dei gestori, i propri criteri di equipollenza, che sono stati confermati delle nuove FAQ “Elenco dei gestori della crisi e insolvenza delle imprese”, pubblicate dallo stesso Ministero lo scorso 26 febbraio. Per questo motivo, il Consiglio Nazionale ha stabilito definitivamente tali criteri, portandoli all’attenzione degli Ordini territoriali.</w:t>
      </w:r>
    </w:p>
    <w:p w14:paraId="635D502A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</w:p>
    <w:p w14:paraId="7E8FC020" w14:textId="6F92874C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 xml:space="preserve">Si devono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ritenere equipollenti e idonei ad assolvere l’aggiornamento biennale</w:t>
      </w:r>
      <w:r w:rsidRPr="00C5127A">
        <w:rPr>
          <w:rFonts w:ascii="Arial" w:eastAsia="Times New Roman" w:hAnsi="Arial" w:cs="Arial"/>
          <w:sz w:val="23"/>
          <w:szCs w:val="23"/>
        </w:rPr>
        <w:t xml:space="preserve"> dei gestori della crisi i corsi di formazione professionale che:</w:t>
      </w:r>
    </w:p>
    <w:p w14:paraId="6BCA8D2C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a) sono stati realizzati a decorrere dalla data di entrata in vigore del decreto correttivo che modifica il Codice della crisi (</w:t>
      </w:r>
      <w:proofErr w:type="spellStart"/>
      <w:r w:rsidRPr="00C5127A">
        <w:rPr>
          <w:rFonts w:ascii="Arial" w:eastAsia="Times New Roman" w:hAnsi="Arial" w:cs="Arial"/>
          <w:sz w:val="23"/>
          <w:szCs w:val="23"/>
        </w:rPr>
        <w:t>D.Lgs.</w:t>
      </w:r>
      <w:proofErr w:type="spellEnd"/>
      <w:r w:rsidRPr="00C5127A">
        <w:rPr>
          <w:rFonts w:ascii="Arial" w:eastAsia="Times New Roman" w:hAnsi="Arial" w:cs="Arial"/>
          <w:sz w:val="23"/>
          <w:szCs w:val="23"/>
        </w:rPr>
        <w:t xml:space="preserve"> 13 settembre 2024, n. 136 entrato in vigore il 28 settembre 2024);</w:t>
      </w:r>
    </w:p>
    <w:p w14:paraId="5496D36F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b) sono stati accreditati dal Consiglio Nazionale ai fini dell’assolvimento dell’obbligo formativo previsto dal Regolamento FPC adottato dal Consiglio Nazionale e pubblicato sul Bollettino del Ministero della Giustizia n. 18 del 30 settembre 2023;</w:t>
      </w:r>
    </w:p>
    <w:p w14:paraId="393A2C4E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c) hanno ad oggetto uno o più argomenti indicati nelle Linee guida della Scuola Superiore della Magistratura adottate il 1° febbraio 2023 ed (eventualmente) integrati con le novità previste dal decreto correttivo;</w:t>
      </w:r>
    </w:p>
    <w:p w14:paraId="07C28428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d) hanno ad oggetto la trattazione dei temi indicati alla lettera c) per un numero di ore non inferiore a 6;</w:t>
      </w:r>
    </w:p>
    <w:p w14:paraId="4C54A183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 xml:space="preserve">e) nell’attestato di partecipazione indicano espressamente la durata del corso e l’equipollenza tra il corso per l’aggiornamento biennale e quello per la formazione professionale continua ai sensi dell’art. 356, comma 2 del </w:t>
      </w:r>
      <w:proofErr w:type="spellStart"/>
      <w:r w:rsidRPr="00C5127A">
        <w:rPr>
          <w:rFonts w:ascii="Arial" w:eastAsia="Times New Roman" w:hAnsi="Arial" w:cs="Arial"/>
          <w:sz w:val="23"/>
          <w:szCs w:val="23"/>
        </w:rPr>
        <w:t>D.Lgs.</w:t>
      </w:r>
      <w:proofErr w:type="spellEnd"/>
      <w:r w:rsidRPr="00C5127A">
        <w:rPr>
          <w:rFonts w:ascii="Arial" w:eastAsia="Times New Roman" w:hAnsi="Arial" w:cs="Arial"/>
          <w:sz w:val="23"/>
          <w:szCs w:val="23"/>
        </w:rPr>
        <w:t xml:space="preserve"> 12 gennaio 2019, n. 14;</w:t>
      </w:r>
    </w:p>
    <w:p w14:paraId="65C4F428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f) saranno erogati dal Consiglio Nazionale, dagli Ordini territoriali, dalle Scuole di Alta Formazione costituite dagli Ordini territoriali (SAF) e dai Soggetti autorizzati ad erogare la formazione a favore degli iscritti nell’Albo dei Dottori Commercialisti e degli Esperti Contabili ai sensi dell’art. 11 del Regolamento FPC;</w:t>
      </w:r>
    </w:p>
    <w:p w14:paraId="4FD78D01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>g) non avranno ad oggetto esclusivamente le tematiche del sovraindebitamento di cui all’art. 4 del DM 24 settembre 2014, n. 202 e che soddisferanno la condizione posta alla lettera d);</w:t>
      </w:r>
    </w:p>
    <w:p w14:paraId="1B493D7A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lastRenderedPageBreak/>
        <w:t xml:space="preserve">h) che non sono realizzati per assolvere gli obblighi formativi per l’inserimento nell’Elenco esperti indipendenti ex art. 13 del </w:t>
      </w:r>
      <w:proofErr w:type="spellStart"/>
      <w:r w:rsidRPr="00C5127A">
        <w:rPr>
          <w:rFonts w:ascii="Arial" w:eastAsia="Times New Roman" w:hAnsi="Arial" w:cs="Arial"/>
          <w:sz w:val="23"/>
          <w:szCs w:val="23"/>
        </w:rPr>
        <w:t>D.Lgs.</w:t>
      </w:r>
      <w:proofErr w:type="spellEnd"/>
      <w:r w:rsidRPr="00C5127A">
        <w:rPr>
          <w:rFonts w:ascii="Arial" w:eastAsia="Times New Roman" w:hAnsi="Arial" w:cs="Arial"/>
          <w:sz w:val="23"/>
          <w:szCs w:val="23"/>
        </w:rPr>
        <w:t xml:space="preserve"> 12 gennaio 2019, n. 14.</w:t>
      </w:r>
    </w:p>
    <w:p w14:paraId="63B6B0A5" w14:textId="77777777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</w:p>
    <w:p w14:paraId="63C82A30" w14:textId="0DD94848" w:rsidR="00C5127A" w:rsidRPr="00C5127A" w:rsidRDefault="00C5127A" w:rsidP="00C5127A">
      <w:pPr>
        <w:jc w:val="both"/>
        <w:rPr>
          <w:rFonts w:ascii="Arial" w:eastAsia="Times New Roman" w:hAnsi="Arial" w:cs="Arial"/>
          <w:sz w:val="23"/>
          <w:szCs w:val="23"/>
        </w:rPr>
      </w:pPr>
      <w:r w:rsidRPr="00C5127A">
        <w:rPr>
          <w:rFonts w:ascii="Arial" w:eastAsia="Times New Roman" w:hAnsi="Arial" w:cs="Arial"/>
          <w:sz w:val="23"/>
          <w:szCs w:val="23"/>
        </w:rPr>
        <w:t xml:space="preserve">“Uno degli obiettivi di questo Consiglio Nazionale è stato quello di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rendere più sostenibile l’attività formativa degli iscritti al nostro Albo</w:t>
      </w:r>
      <w:r w:rsidRPr="00C5127A">
        <w:rPr>
          <w:rFonts w:ascii="Arial" w:eastAsia="Times New Roman" w:hAnsi="Arial" w:cs="Arial"/>
          <w:sz w:val="23"/>
          <w:szCs w:val="23"/>
        </w:rPr>
        <w:t xml:space="preserve"> – ha spiegato il Presidente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Elbano de Nuccio</w:t>
      </w:r>
      <w:r w:rsidRPr="00C5127A">
        <w:rPr>
          <w:rFonts w:ascii="Arial" w:eastAsia="Times New Roman" w:hAnsi="Arial" w:cs="Arial"/>
          <w:sz w:val="23"/>
          <w:szCs w:val="23"/>
        </w:rPr>
        <w:t xml:space="preserve"> –. Partendo dal presupposto che l’aggiornamento è essenziale per poter acquisire quelle competenze tecniche distintive per l’esercizio dell’attività professionale, eravamo arrivati a una sovrapposizione di ore di formazione difficilmente gestibile. Per questo motivo, in sede di predisposizione delle disposizioni integrative e correttive al codice della crisi d'impresa, abbiamo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insistito sulla necessità non solo di ridurre il monte ore complessivo</w:t>
      </w:r>
      <w:r w:rsidRPr="00C5127A">
        <w:rPr>
          <w:rFonts w:ascii="Arial" w:eastAsia="Times New Roman" w:hAnsi="Arial" w:cs="Arial"/>
          <w:sz w:val="23"/>
          <w:szCs w:val="23"/>
        </w:rPr>
        <w:t xml:space="preserve">, ma anche di </w:t>
      </w:r>
      <w:r w:rsidRPr="00C5127A">
        <w:rPr>
          <w:rFonts w:ascii="Arial" w:eastAsia="Times New Roman" w:hAnsi="Arial" w:cs="Arial"/>
          <w:b/>
          <w:bCs/>
          <w:sz w:val="23"/>
          <w:szCs w:val="23"/>
        </w:rPr>
        <w:t>inserire dei criteri di equipollenza dei percorsi formativi</w:t>
      </w:r>
      <w:r w:rsidRPr="00C5127A">
        <w:rPr>
          <w:rFonts w:ascii="Arial" w:eastAsia="Times New Roman" w:hAnsi="Arial" w:cs="Arial"/>
          <w:sz w:val="23"/>
          <w:szCs w:val="23"/>
        </w:rPr>
        <w:t>. Il Ministero della Giustizia ha compreso questa necessità, accogliendo le nostre richieste e di questo non possiamo che dirci soddisfatti”.</w:t>
      </w:r>
    </w:p>
    <w:p w14:paraId="0AD6D565" w14:textId="11076E79" w:rsidR="00C42F53" w:rsidRPr="00C5127A" w:rsidRDefault="00C42F53" w:rsidP="00C5127A">
      <w:pPr>
        <w:jc w:val="both"/>
        <w:rPr>
          <w:rFonts w:ascii="Arial" w:hAnsi="Arial" w:cs="Arial"/>
          <w:sz w:val="23"/>
          <w:szCs w:val="23"/>
        </w:rPr>
      </w:pPr>
    </w:p>
    <w:sectPr w:rsidR="00C42F53" w:rsidRPr="00C5127A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DC7B96" w14:textId="77777777" w:rsidR="00EA2156" w:rsidRDefault="00EA2156" w:rsidP="008A20F9">
      <w:r>
        <w:separator/>
      </w:r>
    </w:p>
  </w:endnote>
  <w:endnote w:type="continuationSeparator" w:id="0">
    <w:p w14:paraId="55AC9B17" w14:textId="77777777" w:rsidR="00EA2156" w:rsidRDefault="00EA2156" w:rsidP="008A2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(Corpo)">
    <w:altName w:val="Calibri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95E12D" w14:textId="77777777" w:rsidR="00EA2156" w:rsidRDefault="00EA2156" w:rsidP="008A20F9">
      <w:r>
        <w:separator/>
      </w:r>
    </w:p>
  </w:footnote>
  <w:footnote w:type="continuationSeparator" w:id="0">
    <w:p w14:paraId="5E937D66" w14:textId="77777777" w:rsidR="00EA2156" w:rsidRDefault="00EA2156" w:rsidP="008A2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F8C168" w14:textId="7377384B" w:rsidR="008A20F9" w:rsidRDefault="008A20F9" w:rsidP="008A20F9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3FB781BE" wp14:editId="7DF93075">
          <wp:extent cx="2314575" cy="786130"/>
          <wp:effectExtent l="0" t="0" r="0" b="0"/>
          <wp:docPr id="1" name="Immagine 1" descr="CNDC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CNDCEC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4575" cy="786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9F9"/>
    <w:rsid w:val="00036A1E"/>
    <w:rsid w:val="00052BAB"/>
    <w:rsid w:val="00055F3C"/>
    <w:rsid w:val="00073211"/>
    <w:rsid w:val="000816F2"/>
    <w:rsid w:val="00081979"/>
    <w:rsid w:val="00082A9D"/>
    <w:rsid w:val="000A7CC9"/>
    <w:rsid w:val="000D27AC"/>
    <w:rsid w:val="000E5CC8"/>
    <w:rsid w:val="000E66F1"/>
    <w:rsid w:val="000E7227"/>
    <w:rsid w:val="000F3B82"/>
    <w:rsid w:val="00115409"/>
    <w:rsid w:val="00123117"/>
    <w:rsid w:val="001326DC"/>
    <w:rsid w:val="001569C4"/>
    <w:rsid w:val="00181D71"/>
    <w:rsid w:val="00184C9B"/>
    <w:rsid w:val="001936AE"/>
    <w:rsid w:val="00193ECA"/>
    <w:rsid w:val="001F164F"/>
    <w:rsid w:val="00213E08"/>
    <w:rsid w:val="00230686"/>
    <w:rsid w:val="002330A2"/>
    <w:rsid w:val="00246A14"/>
    <w:rsid w:val="002509B2"/>
    <w:rsid w:val="00251068"/>
    <w:rsid w:val="00251F37"/>
    <w:rsid w:val="00253393"/>
    <w:rsid w:val="00253551"/>
    <w:rsid w:val="00264425"/>
    <w:rsid w:val="0026577C"/>
    <w:rsid w:val="00271D93"/>
    <w:rsid w:val="002957A8"/>
    <w:rsid w:val="002A6473"/>
    <w:rsid w:val="002D55EB"/>
    <w:rsid w:val="002F4C13"/>
    <w:rsid w:val="00325C28"/>
    <w:rsid w:val="00336F75"/>
    <w:rsid w:val="00383E28"/>
    <w:rsid w:val="00390510"/>
    <w:rsid w:val="0039528E"/>
    <w:rsid w:val="003B396B"/>
    <w:rsid w:val="003F1F36"/>
    <w:rsid w:val="003F7323"/>
    <w:rsid w:val="00403777"/>
    <w:rsid w:val="00410A7B"/>
    <w:rsid w:val="00423A7B"/>
    <w:rsid w:val="00435075"/>
    <w:rsid w:val="00437EA9"/>
    <w:rsid w:val="00453CAC"/>
    <w:rsid w:val="00455CEA"/>
    <w:rsid w:val="00460307"/>
    <w:rsid w:val="00470DE9"/>
    <w:rsid w:val="00475192"/>
    <w:rsid w:val="004808BB"/>
    <w:rsid w:val="00495D0D"/>
    <w:rsid w:val="00497CC7"/>
    <w:rsid w:val="004B03D3"/>
    <w:rsid w:val="004E125E"/>
    <w:rsid w:val="004E232F"/>
    <w:rsid w:val="004F2874"/>
    <w:rsid w:val="005043FB"/>
    <w:rsid w:val="00505E0A"/>
    <w:rsid w:val="00516A45"/>
    <w:rsid w:val="00517A64"/>
    <w:rsid w:val="00524C36"/>
    <w:rsid w:val="00560379"/>
    <w:rsid w:val="00582A23"/>
    <w:rsid w:val="005839A6"/>
    <w:rsid w:val="005948DF"/>
    <w:rsid w:val="00594B66"/>
    <w:rsid w:val="005A1CDB"/>
    <w:rsid w:val="005D113A"/>
    <w:rsid w:val="00606E78"/>
    <w:rsid w:val="0061470B"/>
    <w:rsid w:val="00616738"/>
    <w:rsid w:val="0063007C"/>
    <w:rsid w:val="006359F9"/>
    <w:rsid w:val="006368B3"/>
    <w:rsid w:val="006406DF"/>
    <w:rsid w:val="0067508F"/>
    <w:rsid w:val="006A3700"/>
    <w:rsid w:val="006C3DB8"/>
    <w:rsid w:val="006D7DB0"/>
    <w:rsid w:val="006E5E70"/>
    <w:rsid w:val="00730088"/>
    <w:rsid w:val="007353A0"/>
    <w:rsid w:val="00737AB1"/>
    <w:rsid w:val="00750C0F"/>
    <w:rsid w:val="00781F4E"/>
    <w:rsid w:val="00791A2D"/>
    <w:rsid w:val="0079253B"/>
    <w:rsid w:val="00795EAF"/>
    <w:rsid w:val="007A2D09"/>
    <w:rsid w:val="007A5DF0"/>
    <w:rsid w:val="007C0DA7"/>
    <w:rsid w:val="007D3A62"/>
    <w:rsid w:val="007E0C83"/>
    <w:rsid w:val="007E4A13"/>
    <w:rsid w:val="007F6A8D"/>
    <w:rsid w:val="0080260A"/>
    <w:rsid w:val="0081321B"/>
    <w:rsid w:val="00814ADB"/>
    <w:rsid w:val="00842C15"/>
    <w:rsid w:val="008435D3"/>
    <w:rsid w:val="0086719A"/>
    <w:rsid w:val="00881569"/>
    <w:rsid w:val="008A20F9"/>
    <w:rsid w:val="008A68AA"/>
    <w:rsid w:val="008B36DC"/>
    <w:rsid w:val="008B5892"/>
    <w:rsid w:val="008E6D2A"/>
    <w:rsid w:val="008F7875"/>
    <w:rsid w:val="00911316"/>
    <w:rsid w:val="00920E92"/>
    <w:rsid w:val="00935302"/>
    <w:rsid w:val="00960DAA"/>
    <w:rsid w:val="00962933"/>
    <w:rsid w:val="00976B3F"/>
    <w:rsid w:val="009B029E"/>
    <w:rsid w:val="009B69D9"/>
    <w:rsid w:val="009D653E"/>
    <w:rsid w:val="009D65D1"/>
    <w:rsid w:val="009D7B64"/>
    <w:rsid w:val="009D7DF7"/>
    <w:rsid w:val="009E7612"/>
    <w:rsid w:val="009F3790"/>
    <w:rsid w:val="00A02CDA"/>
    <w:rsid w:val="00A21A98"/>
    <w:rsid w:val="00A27EC8"/>
    <w:rsid w:val="00A630AB"/>
    <w:rsid w:val="00A73C0D"/>
    <w:rsid w:val="00A75A96"/>
    <w:rsid w:val="00A83ACB"/>
    <w:rsid w:val="00A87349"/>
    <w:rsid w:val="00A9564E"/>
    <w:rsid w:val="00A961CD"/>
    <w:rsid w:val="00AA50D5"/>
    <w:rsid w:val="00AB3193"/>
    <w:rsid w:val="00AB51FE"/>
    <w:rsid w:val="00AD683B"/>
    <w:rsid w:val="00AE5C47"/>
    <w:rsid w:val="00AF48E9"/>
    <w:rsid w:val="00AF496D"/>
    <w:rsid w:val="00B15B17"/>
    <w:rsid w:val="00B622FF"/>
    <w:rsid w:val="00B81758"/>
    <w:rsid w:val="00B92B34"/>
    <w:rsid w:val="00BD752B"/>
    <w:rsid w:val="00BE6B22"/>
    <w:rsid w:val="00C03958"/>
    <w:rsid w:val="00C21F54"/>
    <w:rsid w:val="00C32D04"/>
    <w:rsid w:val="00C42F53"/>
    <w:rsid w:val="00C5127A"/>
    <w:rsid w:val="00C54A7A"/>
    <w:rsid w:val="00C653DB"/>
    <w:rsid w:val="00C71E02"/>
    <w:rsid w:val="00C751BF"/>
    <w:rsid w:val="00C8258D"/>
    <w:rsid w:val="00C93E34"/>
    <w:rsid w:val="00CC5721"/>
    <w:rsid w:val="00CC7EBC"/>
    <w:rsid w:val="00CD6241"/>
    <w:rsid w:val="00D4253F"/>
    <w:rsid w:val="00D52088"/>
    <w:rsid w:val="00D65DC6"/>
    <w:rsid w:val="00D66040"/>
    <w:rsid w:val="00DA19F5"/>
    <w:rsid w:val="00DC26A1"/>
    <w:rsid w:val="00DC7953"/>
    <w:rsid w:val="00DD42BD"/>
    <w:rsid w:val="00DD4CF8"/>
    <w:rsid w:val="00DE22D9"/>
    <w:rsid w:val="00E01B44"/>
    <w:rsid w:val="00E31675"/>
    <w:rsid w:val="00E33560"/>
    <w:rsid w:val="00E63630"/>
    <w:rsid w:val="00E73941"/>
    <w:rsid w:val="00E8677B"/>
    <w:rsid w:val="00E86F94"/>
    <w:rsid w:val="00E87288"/>
    <w:rsid w:val="00E926E5"/>
    <w:rsid w:val="00EA2156"/>
    <w:rsid w:val="00EC353A"/>
    <w:rsid w:val="00ED0CDD"/>
    <w:rsid w:val="00EE4E51"/>
    <w:rsid w:val="00EE76A6"/>
    <w:rsid w:val="00EF333C"/>
    <w:rsid w:val="00EF7264"/>
    <w:rsid w:val="00F01297"/>
    <w:rsid w:val="00F01E5E"/>
    <w:rsid w:val="00F72001"/>
    <w:rsid w:val="00F94166"/>
    <w:rsid w:val="00FB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6EAA4"/>
  <w15:docId w15:val="{278ADFC4-915E-40D7-BFAD-5B59AD029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4C36"/>
    <w:pPr>
      <w:spacing w:after="0" w:line="240" w:lineRule="auto"/>
    </w:pPr>
    <w:rPr>
      <w:rFonts w:ascii="Aptos" w:hAnsi="Aptos" w:cs="Aptos"/>
      <w:kern w:val="0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359F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359F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359F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359F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359F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359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359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359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359F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359F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359F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359F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359F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359F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359F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635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359F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359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359F9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359F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359F9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6359F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359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359F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359F9"/>
    <w:rPr>
      <w:b/>
      <w:bCs/>
      <w:smallCaps/>
      <w:color w:val="0F4761" w:themeColor="accent1" w:themeShade="BF"/>
      <w:spacing w:val="5"/>
    </w:rPr>
  </w:style>
  <w:style w:type="character" w:styleId="Enfasigrassetto">
    <w:name w:val="Strong"/>
    <w:basedOn w:val="Carpredefinitoparagrafo"/>
    <w:uiPriority w:val="22"/>
    <w:qFormat/>
    <w:rsid w:val="00EC353A"/>
    <w:rPr>
      <w:b/>
      <w:bCs/>
    </w:rPr>
  </w:style>
  <w:style w:type="character" w:styleId="Enfasicorsivo">
    <w:name w:val="Emphasis"/>
    <w:basedOn w:val="Carpredefinitoparagrafo"/>
    <w:uiPriority w:val="20"/>
    <w:qFormat/>
    <w:rsid w:val="00EC353A"/>
    <w:rPr>
      <w:i/>
      <w:iCs/>
    </w:rPr>
  </w:style>
  <w:style w:type="paragraph" w:styleId="NormaleWeb">
    <w:name w:val="Normal (Web)"/>
    <w:basedOn w:val="Normale"/>
    <w:uiPriority w:val="99"/>
    <w:unhideWhenUsed/>
    <w:rsid w:val="00EC353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8A20F9"/>
    <w:pPr>
      <w:tabs>
        <w:tab w:val="center" w:pos="4819"/>
        <w:tab w:val="right" w:pos="9638"/>
      </w:tabs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20F9"/>
  </w:style>
  <w:style w:type="paragraph" w:styleId="Pidipagina">
    <w:name w:val="footer"/>
    <w:basedOn w:val="Normale"/>
    <w:link w:val="PidipaginaCarattere"/>
    <w:uiPriority w:val="99"/>
    <w:unhideWhenUsed/>
    <w:rsid w:val="008A20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A20F9"/>
  </w:style>
  <w:style w:type="paragraph" w:customStyle="1" w:styleId="xmsonormal">
    <w:name w:val="x_msonormal"/>
    <w:basedOn w:val="Normale"/>
    <w:rsid w:val="00A83ACB"/>
  </w:style>
  <w:style w:type="paragraph" w:styleId="Testonotaapidipagina">
    <w:name w:val="footnote text"/>
    <w:aliases w:val="Nota_2,Testo nota a piè di pagina Carattere Carattere,Testo nota a piè di pagina Carattere1 Carattere Carattere,Testo nota a piè di pagina Carattere2 Carattere Carattere,note,o,stile 1,f"/>
    <w:basedOn w:val="Normale"/>
    <w:link w:val="TestonotaapidipaginaCarattere"/>
    <w:uiPriority w:val="99"/>
    <w:unhideWhenUsed/>
    <w:qFormat/>
    <w:rsid w:val="00184C9B"/>
    <w:pPr>
      <w:jc w:val="both"/>
    </w:pPr>
    <w:rPr>
      <w:rFonts w:asciiTheme="minorHAnsi" w:eastAsiaTheme="minorEastAsia" w:hAnsiTheme="minorHAnsi" w:cstheme="minorBidi"/>
      <w:color w:val="595959" w:themeColor="text1" w:themeTint="A6"/>
      <w:sz w:val="20"/>
      <w:szCs w:val="20"/>
      <w:lang w:eastAsia="en-US"/>
    </w:rPr>
  </w:style>
  <w:style w:type="character" w:customStyle="1" w:styleId="TestonotaapidipaginaCarattere">
    <w:name w:val="Testo nota a piè di pagina Carattere"/>
    <w:aliases w:val="Nota_2 Carattere,Testo nota a piè di pagina Carattere Carattere Carattere,Testo nota a piè di pagina Carattere1 Carattere Carattere Carattere,Testo nota a piè di pagina Carattere2 Carattere Carattere Carattere"/>
    <w:basedOn w:val="Carpredefinitoparagrafo"/>
    <w:link w:val="Testonotaapidipagina"/>
    <w:uiPriority w:val="99"/>
    <w:rsid w:val="00184C9B"/>
    <w:rPr>
      <w:rFonts w:eastAsiaTheme="minorEastAsia"/>
      <w:color w:val="595959" w:themeColor="text1" w:themeTint="A6"/>
      <w:kern w:val="0"/>
      <w:sz w:val="20"/>
      <w:szCs w:val="20"/>
      <w14:ligatures w14:val="none"/>
    </w:rPr>
  </w:style>
  <w:style w:type="character" w:styleId="Rimandonotaapidipagina">
    <w:name w:val="footnote reference"/>
    <w:aliases w:val="Rimando nota a piè di pagina 2,Testo a piè di pagina,(Footnote Reference),SUPERS,EN Footnote Reference,Footnote symbol,Footnote reference number,note TESI,Footnote,Footnote number,fr,Footnotemark,FR,Footnotemark1,Footnotemar"/>
    <w:uiPriority w:val="99"/>
    <w:unhideWhenUsed/>
    <w:rsid w:val="00184C9B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before="200" w:after="80" w:line="264" w:lineRule="auto"/>
      <w:ind w:left="284" w:right="907" w:hanging="284"/>
      <w:jc w:val="both"/>
    </w:pPr>
    <w:rPr>
      <w:rFonts w:asciiTheme="minorHAnsi" w:eastAsiaTheme="minorEastAsia" w:hAnsiTheme="minorHAnsi" w:cs="Calibri (Corpo)"/>
      <w:bCs/>
      <w:smallCaps/>
      <w:noProof/>
      <w:color w:val="404040" w:themeColor="text1" w:themeTint="BF"/>
      <w:sz w:val="23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D4253F"/>
    <w:rPr>
      <w:color w:val="467886" w:themeColor="hyperlink"/>
      <w:u w:val="single"/>
    </w:rPr>
  </w:style>
  <w:style w:type="paragraph" w:styleId="Sommario2">
    <w:name w:val="toc 2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after="100" w:line="264" w:lineRule="auto"/>
      <w:ind w:left="709" w:right="2835" w:hanging="425"/>
      <w:jc w:val="both"/>
    </w:pPr>
    <w:rPr>
      <w:rFonts w:asciiTheme="minorHAnsi" w:eastAsiaTheme="minorEastAsia" w:hAnsiTheme="minorHAnsi" w:cstheme="minorBidi"/>
      <w:color w:val="404040" w:themeColor="text1" w:themeTint="BF"/>
      <w:sz w:val="21"/>
      <w:szCs w:val="21"/>
      <w:lang w:eastAsia="en-US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F48E9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3D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3DB8"/>
    <w:rPr>
      <w:rFonts w:ascii="Tahoma" w:hAnsi="Tahoma" w:cs="Tahoma"/>
      <w:kern w:val="0"/>
      <w:sz w:val="16"/>
      <w:szCs w:val="16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0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ommercialisti.it/informative/48-definizione-dei-criteri-di-equipollenza-tra-laggiornamento-biennale-e-i-corsi-di-formazione-professionale-continua-ai-sensi-dellart-356-comma-2-del-d-lgs-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Mastrogiacomo Tiziana</dc:creator>
  <cp:keywords/>
  <dc:description/>
  <cp:lastModifiedBy>Mastrogiacomo Tiziana</cp:lastModifiedBy>
  <cp:revision>7</cp:revision>
  <dcterms:created xsi:type="dcterms:W3CDTF">2025-03-31T08:36:00Z</dcterms:created>
  <dcterms:modified xsi:type="dcterms:W3CDTF">2025-03-31T09:55:00Z</dcterms:modified>
</cp:coreProperties>
</file>