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7AA6" w14:textId="77777777" w:rsidR="00142890" w:rsidRDefault="00142890">
      <w:pPr>
        <w:jc w:val="both"/>
        <w:rPr>
          <w:rFonts w:ascii="Arial" w:eastAsia="Arial" w:hAnsi="Arial" w:cs="Arial"/>
          <w:b/>
          <w:u w:val="single"/>
        </w:rPr>
      </w:pPr>
    </w:p>
    <w:p w14:paraId="6319DAD6" w14:textId="7A0F797A" w:rsidR="00AF217D" w:rsidRDefault="00AF217D" w:rsidP="00AF217D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68D24B89" w14:textId="77777777" w:rsidR="00AF217D" w:rsidRPr="00AF217D" w:rsidRDefault="00AF217D" w:rsidP="00AF217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71ED3EEC" w14:textId="434F2599" w:rsidR="00AF217D" w:rsidRDefault="00AF217D" w:rsidP="00AF217D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FONDAZIONI DI ORIGINE BANCARIA, DOCUMENTO ACRI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–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COMMERCIALISTI</w:t>
      </w:r>
    </w:p>
    <w:p w14:paraId="71314F4B" w14:textId="77777777" w:rsidR="00AF217D" w:rsidRPr="00AF217D" w:rsidRDefault="00AF217D" w:rsidP="00AF217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3593D540" w14:textId="77777777" w:rsidR="00AF217D" w:rsidRDefault="00AF217D" w:rsidP="00AF217D">
      <w:pPr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Focus sull’esercizio delle funzioni di vigilanza attribuite agli organi di controllo per individuare norme di comportamento e principi di riferimento</w:t>
      </w:r>
    </w:p>
    <w:p w14:paraId="378650A2" w14:textId="77777777" w:rsidR="00AF217D" w:rsidRPr="00AF217D" w:rsidRDefault="00AF217D" w:rsidP="00AF217D">
      <w:pPr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14:paraId="0368D949" w14:textId="7FB57E2F" w:rsidR="00AF217D" w:rsidRP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i/>
          <w:iCs/>
          <w:color w:val="000000"/>
          <w:sz w:val="23"/>
          <w:szCs w:val="23"/>
        </w:rPr>
        <w:t xml:space="preserve">Roma, 26 marzo 2025 </w:t>
      </w:r>
      <w:r>
        <w:rPr>
          <w:rFonts w:ascii="Arial" w:eastAsia="Times New Roman" w:hAnsi="Arial" w:cs="Arial"/>
          <w:i/>
          <w:iCs/>
          <w:color w:val="000000"/>
          <w:sz w:val="23"/>
          <w:szCs w:val="23"/>
        </w:rPr>
        <w:t>–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Individuare le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norme di comportamento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e i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principi di riferimento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per l’esercizio delle funzioni di vigilanza attribuite agli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Organi di controllo delle Fondazioni di origine bancaria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, nelle diverse declinazioni di controllo di legittimità, di correttezza amministrativa, di adeguatezza organizzativa e di controllo amministrativo contabile.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È questo l’obiettivo del documento “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L’esercizio delle funzioni di vigilanza attribuite agli organi di controllo delle Fondazioni di origine bancaria: linee di comportamento e principi di riferimento”</w:t>
      </w:r>
      <w:r w:rsidRPr="00AF217D">
        <w:rPr>
          <w:rFonts w:ascii="Arial" w:eastAsia="Times New Roman" w:hAnsi="Arial" w:cs="Arial"/>
          <w:sz w:val="23"/>
          <w:szCs w:val="23"/>
        </w:rPr>
        <w:t>,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frutto della collaborazione fra l’Associazione di Fondazioni e di Casse di Risparmio Spa (Acri) e il Consiglio Nazionale dei Dottori </w:t>
      </w:r>
      <w:r w:rsidRPr="00AF217D">
        <w:rPr>
          <w:rFonts w:ascii="Arial" w:eastAsia="Times New Roman" w:hAnsi="Arial" w:cs="Arial"/>
          <w:sz w:val="23"/>
          <w:szCs w:val="23"/>
        </w:rPr>
        <w:t>C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ommercialisti e degli Esperti Contabili (CNDCEC). L’approfondimento è il secondo realizzato da Acri e CNDCEC e nasce per la volontà condivisa delle due organizzazioni di agevolare e rendere più efficace l’attività degli Organi di controllo delle Fondazioni nell’esclusivo interesse delle stesse.</w:t>
      </w:r>
    </w:p>
    <w:p w14:paraId="284DED56" w14:textId="77777777" w:rsid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6864819C" w14:textId="41CB1E15" w:rsidR="00AF217D" w:rsidRP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Il documento punta anche a mettere a disposizione una serie di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prassi comportamentali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per l’esercizio delle proprie attribuzioni di vigilanza, che risultino idonee ad aumentare l’efficacia della loro azione e a valorizzarne il ruolo, anche grazie all’identificazione di una </w:t>
      </w:r>
      <w:r w:rsidRPr="00AF217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check-list</w:t>
      </w:r>
      <w:r w:rsidRPr="00AF217D">
        <w:rPr>
          <w:rFonts w:ascii="Arial" w:eastAsia="Times New Roman" w:hAnsi="Arial" w:cs="Arial"/>
          <w:i/>
          <w:iCs/>
          <w:color w:val="000000"/>
          <w:sz w:val="23"/>
          <w:szCs w:val="23"/>
        </w:rPr>
        <w:t>,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da intendersi quale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strumento operativo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da utilizzare in base ad un approccio tipologico e </w:t>
      </w:r>
      <w:r w:rsidRPr="00AF217D">
        <w:rPr>
          <w:rFonts w:ascii="Arial" w:eastAsia="Times New Roman" w:hAnsi="Arial" w:cs="Arial"/>
          <w:i/>
          <w:iCs/>
          <w:color w:val="000000"/>
          <w:sz w:val="23"/>
          <w:szCs w:val="23"/>
        </w:rPr>
        <w:t>customizzato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14:paraId="44D0BE9D" w14:textId="77777777" w:rsid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72CD316F" w14:textId="5096D0B0" w:rsidR="00AF217D" w:rsidRP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L’esigenza di sviluppare tale attività di vigilanza, oltre a supportare le esigenze di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trasparenza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 al fine di tutelare la comunità, è emersa anche in relazione all’applicazione del Protocollo d’intesa del 22 aprile 2015, sottoscritto dalle Fondazioni, rappresentate da Acri, con il </w:t>
      </w:r>
      <w:r w:rsidRPr="00AF217D">
        <w:rPr>
          <w:rFonts w:ascii="Arial" w:eastAsia="Times New Roman" w:hAnsi="Arial" w:cs="Arial"/>
          <w:b/>
          <w:bCs/>
          <w:color w:val="000000"/>
          <w:sz w:val="23"/>
          <w:szCs w:val="23"/>
        </w:rPr>
        <w:t>Ministero dell’Economia e delle Finanze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, che pone in capo alle Fondazioni il compito di verificare </w:t>
      </w:r>
      <w:r w:rsidRPr="00AF217D">
        <w:rPr>
          <w:rFonts w:ascii="Arial" w:eastAsia="Times New Roman" w:hAnsi="Arial" w:cs="Arial"/>
          <w:i/>
          <w:iCs/>
          <w:color w:val="000000"/>
          <w:sz w:val="23"/>
          <w:szCs w:val="23"/>
        </w:rPr>
        <w:t>“regolarmente l'adeguatezza e l'efficacia della struttura organizzativa, […] e delle procedure di gestione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”.</w:t>
      </w:r>
    </w:p>
    <w:p w14:paraId="42384369" w14:textId="77777777" w:rsid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44EE6184" w14:textId="172D5C3D" w:rsidR="00AF217D" w:rsidRP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color w:val="000000"/>
          <w:sz w:val="23"/>
          <w:szCs w:val="23"/>
        </w:rPr>
        <w:t>L’adempimento che il Protocollo pone genericamente in capo alle Fondazioni, difatti, trova riferimento all’interno delle stesse</w:t>
      </w:r>
      <w:r w:rsidRPr="00AF217D">
        <w:rPr>
          <w:rFonts w:ascii="Arial" w:eastAsia="Times New Roman" w:hAnsi="Arial" w:cs="Arial"/>
          <w:sz w:val="23"/>
          <w:szCs w:val="23"/>
        </w:rPr>
        <w:t xml:space="preserve"> con riguardo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 sia</w:t>
      </w:r>
      <w:r w:rsidRPr="00AF217D">
        <w:rPr>
          <w:rFonts w:ascii="Arial" w:eastAsia="Times New Roman" w:hAnsi="Arial" w:cs="Arial"/>
          <w:sz w:val="23"/>
          <w:szCs w:val="23"/>
        </w:rPr>
        <w:t xml:space="preserve"> 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alle competenze degli Organi di amministrazione</w:t>
      </w:r>
      <w:r w:rsidRPr="00AF217D">
        <w:rPr>
          <w:rFonts w:ascii="Arial" w:eastAsia="Times New Roman" w:hAnsi="Arial" w:cs="Arial"/>
          <w:sz w:val="23"/>
          <w:szCs w:val="23"/>
        </w:rPr>
        <w:t xml:space="preserve"> 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sia a quelle degli Organi di controllo. I primi, in quanto deputati alla definizione e </w:t>
      </w:r>
      <w:r w:rsidRPr="00AF217D">
        <w:rPr>
          <w:rFonts w:ascii="Arial" w:eastAsia="Times New Roman" w:hAnsi="Arial" w:cs="Arial"/>
          <w:sz w:val="23"/>
          <w:szCs w:val="23"/>
        </w:rPr>
        <w:t>all’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aggiornamento dell’assetto organizzativo in funzione del perseguimento delle finalità statutarie, i secondi perché incaricati statutariamente del compito di vigilarne l’adeguatezza e il concreto funzionamento.</w:t>
      </w:r>
    </w:p>
    <w:p w14:paraId="38BAC12F" w14:textId="77777777" w:rsid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</w:p>
    <w:p w14:paraId="081FD7E7" w14:textId="037EF647" w:rsidR="00AF217D" w:rsidRPr="00AF217D" w:rsidRDefault="00AF217D" w:rsidP="00AF217D">
      <w:pPr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AF217D">
        <w:rPr>
          <w:rFonts w:ascii="Arial" w:eastAsia="Times New Roman" w:hAnsi="Arial" w:cs="Arial"/>
          <w:color w:val="000000"/>
          <w:sz w:val="23"/>
          <w:szCs w:val="23"/>
        </w:rPr>
        <w:t>Il documento Acri-CNDCEC è stato elaborato</w:t>
      </w:r>
      <w:r w:rsidRPr="00AF217D">
        <w:rPr>
          <w:rFonts w:ascii="Arial" w:eastAsia="Times New Roman" w:hAnsi="Arial" w:cs="Arial"/>
          <w:sz w:val="23"/>
          <w:szCs w:val="23"/>
        </w:rPr>
        <w:t xml:space="preserve"> anche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 xml:space="preserve"> tenendo conto delle </w:t>
      </w:r>
      <w:r w:rsidRPr="00AF217D">
        <w:rPr>
          <w:rFonts w:ascii="Arial" w:eastAsia="Times New Roman" w:hAnsi="Arial" w:cs="Arial"/>
          <w:i/>
          <w:iCs/>
          <w:color w:val="000000"/>
          <w:sz w:val="23"/>
          <w:szCs w:val="23"/>
        </w:rPr>
        <w:t>“</w:t>
      </w:r>
      <w:r w:rsidRPr="00AF217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Norme di comportamento del collegio sindacale di società non quotate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” e delle “</w:t>
      </w:r>
      <w:r w:rsidRPr="00AF217D">
        <w:rPr>
          <w:rFonts w:ascii="Arial" w:eastAsia="Times New Roman" w:hAnsi="Arial" w:cs="Arial"/>
          <w:b/>
          <w:bCs/>
          <w:i/>
          <w:iCs/>
          <w:color w:val="000000"/>
          <w:sz w:val="23"/>
          <w:szCs w:val="23"/>
        </w:rPr>
        <w:t>Norme di comportamento delle società quotate</w:t>
      </w:r>
      <w:r w:rsidRPr="00AF217D">
        <w:rPr>
          <w:rFonts w:ascii="Arial" w:eastAsia="Times New Roman" w:hAnsi="Arial" w:cs="Arial"/>
          <w:color w:val="000000"/>
          <w:sz w:val="23"/>
          <w:szCs w:val="23"/>
        </w:rPr>
        <w:t>”, pubblicate dal medesimo CNDCEC nella loro ultima versione nel dicembre 2024, anche con riferimento alle specificità istituzionali e dimensionali delle Fondazioni, nonché alla loro differente complessità operativa.</w:t>
      </w:r>
    </w:p>
    <w:p w14:paraId="26E6E2FC" w14:textId="48AA6F51" w:rsidR="00D40514" w:rsidRPr="00AF217D" w:rsidRDefault="00D40514" w:rsidP="00AF217D">
      <w:pPr>
        <w:tabs>
          <w:tab w:val="left" w:pos="284"/>
        </w:tabs>
        <w:jc w:val="both"/>
        <w:rPr>
          <w:rFonts w:ascii="Arial" w:eastAsia="Arial" w:hAnsi="Arial" w:cs="Arial"/>
          <w:color w:val="000000"/>
          <w:sz w:val="23"/>
          <w:szCs w:val="23"/>
        </w:rPr>
      </w:pPr>
    </w:p>
    <w:p w14:paraId="029EA795" w14:textId="6428EE17" w:rsidR="00142890" w:rsidRPr="00AF217D" w:rsidRDefault="00226D36" w:rsidP="00D40514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Arial" w:eastAsia="Arial" w:hAnsi="Arial" w:cs="Arial"/>
          <w:color w:val="000000"/>
          <w:sz w:val="23"/>
          <w:szCs w:val="23"/>
        </w:rPr>
      </w:pPr>
      <w:r w:rsidRPr="00AF217D">
        <w:rPr>
          <w:rFonts w:ascii="Arial" w:eastAsia="Arial" w:hAnsi="Arial" w:cs="Arial"/>
          <w:color w:val="000000"/>
          <w:sz w:val="23"/>
          <w:szCs w:val="23"/>
        </w:rPr>
        <w:t>Il documento Acri</w:t>
      </w:r>
      <w:r w:rsidR="00D40514" w:rsidRPr="00AF217D">
        <w:rPr>
          <w:rFonts w:ascii="Arial" w:eastAsia="Arial" w:hAnsi="Arial" w:cs="Arial"/>
          <w:color w:val="000000"/>
          <w:sz w:val="23"/>
          <w:szCs w:val="23"/>
        </w:rPr>
        <w:t>-</w:t>
      </w:r>
      <w:r w:rsidRPr="00AF217D">
        <w:rPr>
          <w:rFonts w:ascii="Arial" w:eastAsia="Arial" w:hAnsi="Arial" w:cs="Arial"/>
          <w:color w:val="000000"/>
          <w:sz w:val="23"/>
          <w:szCs w:val="23"/>
        </w:rPr>
        <w:t xml:space="preserve">CNDCEC è stato elaborato tenendo anche conto delle </w:t>
      </w:r>
      <w:r w:rsidRPr="00AF217D">
        <w:rPr>
          <w:rFonts w:ascii="Arial" w:eastAsia="Arial" w:hAnsi="Arial" w:cs="Arial"/>
          <w:i/>
          <w:color w:val="000000"/>
          <w:sz w:val="23"/>
          <w:szCs w:val="23"/>
        </w:rPr>
        <w:t>“</w:t>
      </w:r>
      <w:r w:rsidRPr="00AF217D">
        <w:rPr>
          <w:rFonts w:ascii="Arial" w:eastAsia="Arial" w:hAnsi="Arial" w:cs="Arial"/>
          <w:b/>
          <w:i/>
          <w:color w:val="000000"/>
          <w:sz w:val="23"/>
          <w:szCs w:val="23"/>
        </w:rPr>
        <w:t>Norme di comportamento del collegio sindacale di società non quotate</w:t>
      </w:r>
      <w:r w:rsidRPr="00AF217D">
        <w:rPr>
          <w:rFonts w:ascii="Arial" w:eastAsia="Arial" w:hAnsi="Arial" w:cs="Arial"/>
          <w:color w:val="000000"/>
          <w:sz w:val="23"/>
          <w:szCs w:val="23"/>
        </w:rPr>
        <w:t>” e delle “</w:t>
      </w:r>
      <w:r w:rsidRPr="00AF217D">
        <w:rPr>
          <w:rFonts w:ascii="Arial" w:eastAsia="Arial" w:hAnsi="Arial" w:cs="Arial"/>
          <w:b/>
          <w:i/>
          <w:color w:val="000000"/>
          <w:sz w:val="23"/>
          <w:szCs w:val="23"/>
        </w:rPr>
        <w:t>Norme di comportamento delle società quotate</w:t>
      </w:r>
      <w:r w:rsidRPr="00AF217D">
        <w:rPr>
          <w:rFonts w:ascii="Arial" w:eastAsia="Arial" w:hAnsi="Arial" w:cs="Arial"/>
          <w:color w:val="000000"/>
          <w:sz w:val="23"/>
          <w:szCs w:val="23"/>
        </w:rPr>
        <w:t>”, pubblicate dal medesimo CNDCEC nella loro ultima versione nel dicembre 2024, anche con riferimento alle specificità istituzionali e dimensionali delle Fondazioni, nonché alla loro differente complessità operativa.</w:t>
      </w:r>
    </w:p>
    <w:sectPr w:rsidR="00142890" w:rsidRPr="00AF217D">
      <w:head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19FD2" w14:textId="77777777" w:rsidR="00F72DB2" w:rsidRDefault="00F72DB2">
      <w:r>
        <w:separator/>
      </w:r>
    </w:p>
  </w:endnote>
  <w:endnote w:type="continuationSeparator" w:id="0">
    <w:p w14:paraId="01B5D7F0" w14:textId="77777777" w:rsidR="00F72DB2" w:rsidRDefault="00F72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1C84C" w14:textId="77777777" w:rsidR="00F72DB2" w:rsidRDefault="00F72DB2">
      <w:r>
        <w:separator/>
      </w:r>
    </w:p>
  </w:footnote>
  <w:footnote w:type="continuationSeparator" w:id="0">
    <w:p w14:paraId="4C60723C" w14:textId="77777777" w:rsidR="00F72DB2" w:rsidRDefault="00F72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12784" w14:textId="77777777" w:rsidR="00142890" w:rsidRDefault="00226D3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             </w:t>
    </w:r>
  </w:p>
  <w:p w14:paraId="7B85EB82" w14:textId="77777777" w:rsidR="00142890" w:rsidRDefault="0009699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F5246B3" wp14:editId="726F1ADD">
          <wp:simplePos x="0" y="0"/>
          <wp:positionH relativeFrom="column">
            <wp:posOffset>3886029</wp:posOffset>
          </wp:positionH>
          <wp:positionV relativeFrom="paragraph">
            <wp:posOffset>258293</wp:posOffset>
          </wp:positionV>
          <wp:extent cx="2389752" cy="316284"/>
          <wp:effectExtent l="0" t="0" r="0" b="7620"/>
          <wp:wrapNone/>
          <wp:docPr id="1" name="image1.png" descr="Immagine che contiene testo, Carattere, logo, Elementi grafici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testo, Carattere, logo, Elementi grafici&#10;&#10;Il contenuto generato dall'IA potrebbe non essere corret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7661" cy="338507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26D36">
      <w:rPr>
        <w:color w:val="000000"/>
      </w:rPr>
      <w:t xml:space="preserve">  </w:t>
    </w:r>
    <w:r w:rsidR="00226D36">
      <w:rPr>
        <w:noProof/>
        <w:color w:val="000000"/>
      </w:rPr>
      <w:drawing>
        <wp:inline distT="0" distB="0" distL="0" distR="0" wp14:anchorId="2B668852" wp14:editId="17888B55">
          <wp:extent cx="2314575" cy="728980"/>
          <wp:effectExtent l="0" t="0" r="0" b="0"/>
          <wp:docPr id="2" name="image2.png" descr="CNDCE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NDCEC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14575" cy="728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90"/>
    <w:rsid w:val="00096992"/>
    <w:rsid w:val="00142890"/>
    <w:rsid w:val="00226D36"/>
    <w:rsid w:val="0066103B"/>
    <w:rsid w:val="00713D6E"/>
    <w:rsid w:val="0088599F"/>
    <w:rsid w:val="00922F47"/>
    <w:rsid w:val="00A3657A"/>
    <w:rsid w:val="00AC42C7"/>
    <w:rsid w:val="00AF217D"/>
    <w:rsid w:val="00B07AFF"/>
    <w:rsid w:val="00B76E62"/>
    <w:rsid w:val="00D40514"/>
    <w:rsid w:val="00DC2FCC"/>
    <w:rsid w:val="00EE268E"/>
    <w:rsid w:val="00F72DB2"/>
    <w:rsid w:val="00F7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F7D03"/>
  <w15:docId w15:val="{42ADABFB-A633-45D3-A021-8BF33FD6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 w:line="278" w:lineRule="auto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 w:line="278" w:lineRule="auto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 w:line="278" w:lineRule="auto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 w:line="278" w:lineRule="auto"/>
      <w:outlineLvl w:val="3"/>
    </w:pPr>
    <w:rPr>
      <w:i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 w:line="278" w:lineRule="auto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line="278" w:lineRule="auto"/>
      <w:outlineLvl w:val="5"/>
    </w:pPr>
    <w:rPr>
      <w:i/>
      <w:color w:val="59595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paragraph" w:styleId="Sottotitolo">
    <w:name w:val="Subtitle"/>
    <w:basedOn w:val="Normale"/>
    <w:next w:val="Normale"/>
    <w:uiPriority w:val="11"/>
    <w:qFormat/>
    <w:pPr>
      <w:spacing w:after="160" w:line="278" w:lineRule="auto"/>
    </w:pPr>
    <w:rPr>
      <w:color w:val="595959"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unhideWhenUsed/>
    <w:rsid w:val="00226D3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D36"/>
  </w:style>
  <w:style w:type="paragraph" w:styleId="Pidipagina">
    <w:name w:val="footer"/>
    <w:basedOn w:val="Normale"/>
    <w:link w:val="PidipaginaCarattere"/>
    <w:uiPriority w:val="99"/>
    <w:unhideWhenUsed/>
    <w:rsid w:val="00226D3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D3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42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42C7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8859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8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64B2C-A84F-42D3-9CC6-80568BD5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1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Giacomo Paiano</dc:creator>
  <cp:lastModifiedBy>Mastrogiacomo Tiziana</cp:lastModifiedBy>
  <cp:revision>3</cp:revision>
  <dcterms:created xsi:type="dcterms:W3CDTF">2025-03-25T15:08:00Z</dcterms:created>
  <dcterms:modified xsi:type="dcterms:W3CDTF">2025-03-26T13:53:00Z</dcterms:modified>
</cp:coreProperties>
</file>