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BF5B0E" w14:textId="77777777" w:rsidR="00505E0A" w:rsidRPr="001C3CA3" w:rsidRDefault="00505E0A" w:rsidP="00176558">
      <w:pPr>
        <w:jc w:val="both"/>
        <w:rPr>
          <w:rFonts w:ascii="Arial" w:hAnsi="Arial" w:cs="Arial"/>
          <w:b/>
          <w:bCs/>
        </w:rPr>
      </w:pPr>
    </w:p>
    <w:p w14:paraId="373A494B" w14:textId="4A0F3310" w:rsidR="00842C15" w:rsidRPr="001C3CA3" w:rsidRDefault="00842C15" w:rsidP="00176558">
      <w:pPr>
        <w:jc w:val="center"/>
        <w:rPr>
          <w:rFonts w:ascii="Arial" w:hAnsi="Arial" w:cs="Arial"/>
          <w:b/>
          <w:bCs/>
          <w:color w:val="000000"/>
          <w:u w:val="single"/>
        </w:rPr>
      </w:pPr>
      <w:r w:rsidRPr="001C3CA3">
        <w:rPr>
          <w:rFonts w:ascii="Arial" w:hAnsi="Arial" w:cs="Arial"/>
          <w:b/>
          <w:bCs/>
          <w:color w:val="000000"/>
          <w:u w:val="single"/>
        </w:rPr>
        <w:t>Comunicato stampa</w:t>
      </w:r>
    </w:p>
    <w:p w14:paraId="0F7F4238" w14:textId="77777777" w:rsidR="00814ADB" w:rsidRPr="001C3CA3" w:rsidRDefault="00814ADB" w:rsidP="00176558">
      <w:pPr>
        <w:jc w:val="center"/>
        <w:rPr>
          <w:rFonts w:ascii="Arial" w:hAnsi="Arial" w:cs="Arial"/>
          <w:b/>
          <w:bCs/>
          <w:color w:val="000000"/>
          <w:u w:val="single"/>
        </w:rPr>
      </w:pPr>
    </w:p>
    <w:p w14:paraId="6CF73145" w14:textId="5CCD4332" w:rsidR="00814ADB" w:rsidRPr="001C3CA3" w:rsidRDefault="00814ADB" w:rsidP="00176558">
      <w:pPr>
        <w:jc w:val="center"/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</w:pPr>
      <w:r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CRIPTO-</w:t>
      </w:r>
      <w:r w:rsidR="00BA7C01"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ATTIVITÀ,</w:t>
      </w:r>
      <w:r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 xml:space="preserve"> DAI COMMERCIALISTI UN DOCUMENTO SULL’IMPOSTA SOSTITUTIVA SULLE PLUSVALENZE</w:t>
      </w:r>
    </w:p>
    <w:p w14:paraId="7B863B47" w14:textId="77777777" w:rsidR="00176558" w:rsidRPr="001C3CA3" w:rsidRDefault="00176558" w:rsidP="00176558">
      <w:pPr>
        <w:jc w:val="center"/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</w:pPr>
    </w:p>
    <w:p w14:paraId="0D5F2FE0" w14:textId="62041B30" w:rsidR="00176558" w:rsidRPr="001C3CA3" w:rsidRDefault="00814ADB" w:rsidP="00176558">
      <w:pPr>
        <w:jc w:val="center"/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</w:pPr>
      <w:r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Consiglio e Fondazione nazionali della categoria fanno il punto sulla stratificata impalcatura normativa in materia</w:t>
      </w:r>
    </w:p>
    <w:p w14:paraId="2D91CE3E" w14:textId="77777777" w:rsidR="00176558" w:rsidRPr="001C3CA3" w:rsidRDefault="00176558" w:rsidP="00176558">
      <w:pPr>
        <w:jc w:val="center"/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</w:pPr>
    </w:p>
    <w:p w14:paraId="34AB520C" w14:textId="490788DB" w:rsidR="00814ADB" w:rsidRPr="001C3CA3" w:rsidRDefault="00814ADB" w:rsidP="00176558">
      <w:pPr>
        <w:jc w:val="both"/>
        <w:rPr>
          <w:rFonts w:ascii="Arial" w:eastAsia="Aptos" w:hAnsi="Arial" w:cs="Arial"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</w:pPr>
      <w:r w:rsidRPr="001C3CA3">
        <w:rPr>
          <w:rFonts w:ascii="Arial" w:eastAsia="Aptos" w:hAnsi="Arial" w:cs="Arial"/>
          <w:i/>
          <w:i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Roma, 21 marzo 2025 –</w:t>
      </w:r>
      <w:r w:rsidRPr="001C3CA3">
        <w:rPr>
          <w:rFonts w:ascii="Arial" w:eastAsia="Aptos" w:hAnsi="Arial" w:cs="Arial"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 xml:space="preserve"> “</w:t>
      </w:r>
      <w:r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L’aliquota dell’imposta sostitutiva sulle plusvalenze relative alle cripto-attività</w:t>
      </w:r>
      <w:r w:rsidRPr="001C3CA3">
        <w:rPr>
          <w:rFonts w:ascii="Arial" w:eastAsia="Aptos" w:hAnsi="Arial" w:cs="Arial"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 xml:space="preserve">” è il titolo di un documento di ricerca pubblicato dal Consiglio e della Fondazione nazionali dei commercialisti, realizzato all’interno dell’attività dell’area “Contenzioso tributario” alla quale sono delegati il Consigliere nazionale </w:t>
      </w:r>
      <w:r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Rosa d’Angiolella</w:t>
      </w:r>
      <w:r w:rsidRPr="001C3CA3">
        <w:rPr>
          <w:rFonts w:ascii="Arial" w:eastAsia="Aptos" w:hAnsi="Arial" w:cs="Arial"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 xml:space="preserve"> e il Consigliere nazionale e tesoriere </w:t>
      </w:r>
      <w:r w:rsidRPr="001C3CA3">
        <w:rPr>
          <w:rFonts w:ascii="Arial" w:eastAsia="Aptos" w:hAnsi="Arial" w:cs="Arial"/>
          <w:b/>
          <w:bCs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>Salvatore Regalbuto</w:t>
      </w:r>
      <w:r w:rsidRPr="001C3CA3">
        <w:rPr>
          <w:rFonts w:ascii="Arial" w:eastAsia="Aptos" w:hAnsi="Arial" w:cs="Arial"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  <w:t xml:space="preserve">. </w:t>
      </w:r>
    </w:p>
    <w:p w14:paraId="57990FC7" w14:textId="77777777" w:rsidR="00176558" w:rsidRPr="001C3CA3" w:rsidRDefault="00176558" w:rsidP="00176558">
      <w:pPr>
        <w:jc w:val="both"/>
        <w:rPr>
          <w:rFonts w:ascii="Arial" w:eastAsia="Aptos" w:hAnsi="Arial" w:cs="Arial"/>
          <w:color w:val="000000"/>
          <w:kern w:val="2"/>
          <w14:textFill>
            <w14:solidFill>
              <w14:srgbClr w14:val="000000">
                <w14:lumMod w14:val="85000"/>
                <w14:lumOff w14:val="15000"/>
              </w14:srgbClr>
            </w14:solidFill>
          </w14:textFill>
          <w14:ligatures w14:val="standardContextual"/>
        </w:rPr>
      </w:pPr>
    </w:p>
    <w:p w14:paraId="2B9EF732" w14:textId="6B229B35" w:rsidR="001C3CA3" w:rsidRDefault="001C3CA3" w:rsidP="001C3CA3">
      <w:pPr>
        <w:jc w:val="both"/>
        <w:rPr>
          <w:rFonts w:ascii="Arial" w:hAnsi="Arial" w:cs="Arial"/>
        </w:rPr>
      </w:pPr>
      <w:r w:rsidRPr="001C3CA3">
        <w:rPr>
          <w:rFonts w:ascii="Arial" w:hAnsi="Arial" w:cs="Arial"/>
        </w:rPr>
        <w:t xml:space="preserve">Il </w:t>
      </w:r>
      <w:r>
        <w:rPr>
          <w:rFonts w:ascii="Arial" w:hAnsi="Arial" w:cs="Arial"/>
        </w:rPr>
        <w:t>d</w:t>
      </w:r>
      <w:r w:rsidRPr="001C3CA3">
        <w:rPr>
          <w:rFonts w:ascii="Arial" w:hAnsi="Arial" w:cs="Arial"/>
        </w:rPr>
        <w:t xml:space="preserve">ocumento, predisposto dalla </w:t>
      </w:r>
      <w:r>
        <w:rPr>
          <w:rFonts w:ascii="Arial" w:hAnsi="Arial" w:cs="Arial"/>
        </w:rPr>
        <w:t>c</w:t>
      </w:r>
      <w:r w:rsidRPr="001C3CA3">
        <w:rPr>
          <w:rFonts w:ascii="Arial" w:hAnsi="Arial" w:cs="Arial"/>
        </w:rPr>
        <w:t>ommissione di studio “</w:t>
      </w:r>
      <w:r w:rsidRPr="001C3CA3">
        <w:rPr>
          <w:rFonts w:ascii="Arial" w:hAnsi="Arial" w:cs="Arial"/>
          <w:b/>
          <w:bCs/>
        </w:rPr>
        <w:t>Imposizione fiscale delle nuove realtà economiche virtuali</w:t>
      </w:r>
      <w:r w:rsidRPr="001C3CA3">
        <w:rPr>
          <w:rFonts w:ascii="Arial" w:hAnsi="Arial" w:cs="Arial"/>
        </w:rPr>
        <w:t xml:space="preserve">”, esamina </w:t>
      </w:r>
      <w:r w:rsidRPr="001C3CA3">
        <w:rPr>
          <w:rFonts w:ascii="Arial" w:hAnsi="Arial" w:cs="Arial"/>
          <w:b/>
          <w:bCs/>
        </w:rPr>
        <w:t xml:space="preserve">il trattamento ai fini delle imposte sui redditi delle </w:t>
      </w:r>
      <w:r w:rsidRPr="001C3CA3">
        <w:rPr>
          <w:rFonts w:ascii="Arial" w:hAnsi="Arial" w:cs="Arial"/>
        </w:rPr>
        <w:t>plusvalenze e degli altri proventi derivanti dalla cessione o detenzione di cripto-attività.</w:t>
      </w:r>
    </w:p>
    <w:p w14:paraId="391C8693" w14:textId="77777777" w:rsidR="001C3CA3" w:rsidRPr="001C3CA3" w:rsidRDefault="001C3CA3" w:rsidP="001C3CA3">
      <w:pPr>
        <w:jc w:val="both"/>
        <w:rPr>
          <w:rFonts w:ascii="Arial" w:hAnsi="Arial" w:cs="Arial"/>
        </w:rPr>
      </w:pPr>
    </w:p>
    <w:p w14:paraId="0C7DF855" w14:textId="77777777" w:rsidR="001C3CA3" w:rsidRPr="001C3CA3" w:rsidRDefault="001C3CA3" w:rsidP="001C3CA3">
      <w:pPr>
        <w:jc w:val="both"/>
        <w:rPr>
          <w:rFonts w:ascii="Arial" w:hAnsi="Arial" w:cs="Arial"/>
        </w:rPr>
      </w:pPr>
      <w:r w:rsidRPr="001C3CA3">
        <w:rPr>
          <w:rFonts w:ascii="Arial" w:hAnsi="Arial" w:cs="Arial"/>
        </w:rPr>
        <w:t xml:space="preserve">L’imponibilità di tali plusvalenze è stata prevista espressamente </w:t>
      </w:r>
      <w:r w:rsidRPr="001C3CA3">
        <w:rPr>
          <w:rFonts w:ascii="Arial" w:hAnsi="Arial" w:cs="Arial"/>
          <w:b/>
          <w:bCs/>
        </w:rPr>
        <w:t>dalla legge di bilancio 2023</w:t>
      </w:r>
      <w:r w:rsidRPr="001C3CA3">
        <w:rPr>
          <w:rFonts w:ascii="Arial" w:hAnsi="Arial" w:cs="Arial"/>
        </w:rPr>
        <w:t xml:space="preserve"> (l. 27 dicembre 2022, n. 197), attraverso l’introduzione di una nuova fattispecie imponibile nella categoria dei redditi diversi, costituita dalla lettera c-</w:t>
      </w:r>
      <w:r w:rsidRPr="001C3CA3">
        <w:rPr>
          <w:rFonts w:ascii="Arial" w:hAnsi="Arial" w:cs="Arial"/>
          <w:i/>
        </w:rPr>
        <w:t>sexies</w:t>
      </w:r>
      <w:r w:rsidRPr="001C3CA3">
        <w:rPr>
          <w:rFonts w:ascii="Arial" w:hAnsi="Arial" w:cs="Arial"/>
        </w:rPr>
        <w:t>) dell’articolo 67, comma 1, del testo unico delle imposte sui redditi (TUIR).</w:t>
      </w:r>
    </w:p>
    <w:p w14:paraId="0408145F" w14:textId="77777777" w:rsidR="001C3CA3" w:rsidRDefault="001C3CA3" w:rsidP="001C3CA3">
      <w:pPr>
        <w:jc w:val="both"/>
        <w:rPr>
          <w:rFonts w:ascii="Arial" w:hAnsi="Arial" w:cs="Arial"/>
        </w:rPr>
      </w:pPr>
    </w:p>
    <w:p w14:paraId="57AC8D13" w14:textId="03ABC8E7" w:rsidR="001C3CA3" w:rsidRPr="001C3CA3" w:rsidRDefault="001C3CA3" w:rsidP="001C3CA3">
      <w:pPr>
        <w:jc w:val="both"/>
        <w:rPr>
          <w:rFonts w:ascii="Arial" w:hAnsi="Arial" w:cs="Arial"/>
        </w:rPr>
      </w:pPr>
      <w:r w:rsidRPr="001C3CA3">
        <w:rPr>
          <w:rFonts w:ascii="Arial" w:hAnsi="Arial" w:cs="Arial"/>
        </w:rPr>
        <w:t xml:space="preserve">Il </w:t>
      </w:r>
      <w:r>
        <w:rPr>
          <w:rFonts w:ascii="Arial" w:hAnsi="Arial" w:cs="Arial"/>
        </w:rPr>
        <w:t>d</w:t>
      </w:r>
      <w:r w:rsidRPr="001C3CA3">
        <w:rPr>
          <w:rFonts w:ascii="Arial" w:hAnsi="Arial" w:cs="Arial"/>
        </w:rPr>
        <w:t xml:space="preserve">ocumento, in particolare, </w:t>
      </w:r>
      <w:r w:rsidRPr="001C3CA3">
        <w:rPr>
          <w:rFonts w:ascii="Arial" w:hAnsi="Arial" w:cs="Arial"/>
          <w:b/>
          <w:bCs/>
        </w:rPr>
        <w:t>ricostruisce l’evoluzione dell’aliquota dell’imposta sostitutiva applicabile su tali plusvalenze</w:t>
      </w:r>
      <w:r w:rsidRPr="001C3CA3">
        <w:rPr>
          <w:rFonts w:ascii="Arial" w:hAnsi="Arial" w:cs="Arial"/>
        </w:rPr>
        <w:t>, fissata originariamente in misura pari al 12,50% dall’articolo 5 del decreto legislativo 21 novembre 1997, n. 461 e poi incrementata, dalla legge di bilancio 2025 (l. 30 dicembre 2024, n. 207), al 26% per l’anno 2025 e al 33% dall’anno 2026 in poi.</w:t>
      </w:r>
    </w:p>
    <w:p w14:paraId="0234EFB4" w14:textId="77777777" w:rsidR="001C3CA3" w:rsidRDefault="001C3CA3" w:rsidP="001C3CA3">
      <w:pPr>
        <w:jc w:val="both"/>
        <w:rPr>
          <w:rFonts w:ascii="Arial" w:hAnsi="Arial" w:cs="Arial"/>
        </w:rPr>
      </w:pPr>
    </w:p>
    <w:p w14:paraId="11ACF496" w14:textId="7046F6EB" w:rsidR="001C3CA3" w:rsidRPr="001C3CA3" w:rsidRDefault="001C3CA3" w:rsidP="001C3CA3">
      <w:pPr>
        <w:jc w:val="both"/>
        <w:rPr>
          <w:rFonts w:ascii="Arial" w:hAnsi="Arial" w:cs="Arial"/>
        </w:rPr>
      </w:pPr>
      <w:r w:rsidRPr="001C3CA3">
        <w:rPr>
          <w:rFonts w:ascii="Arial" w:hAnsi="Arial" w:cs="Arial"/>
        </w:rPr>
        <w:t>Dubbi interpretativi si pongono in ordine all’individuazione dell’aliquota applicabile per i periodi d’imposta 2023 e 2024</w:t>
      </w:r>
      <w:r>
        <w:rPr>
          <w:rFonts w:ascii="Arial" w:hAnsi="Arial" w:cs="Arial"/>
        </w:rPr>
        <w:t>,</w:t>
      </w:r>
      <w:r w:rsidRPr="001C3CA3">
        <w:rPr>
          <w:rFonts w:ascii="Arial" w:hAnsi="Arial" w:cs="Arial"/>
        </w:rPr>
        <w:t xml:space="preserve"> non risultando espressamente prevista dalla lettera della legge l’aliquota del 26% per le plusvalenze realizzate prima del 2025.</w:t>
      </w:r>
    </w:p>
    <w:p w14:paraId="7EE2A525" w14:textId="77777777" w:rsidR="001C3CA3" w:rsidRDefault="001C3CA3" w:rsidP="001C3CA3">
      <w:pPr>
        <w:jc w:val="both"/>
        <w:rPr>
          <w:rFonts w:ascii="Arial" w:hAnsi="Arial" w:cs="Arial"/>
        </w:rPr>
      </w:pPr>
    </w:p>
    <w:p w14:paraId="332FDA70" w14:textId="1476FC9D" w:rsidR="001C3CA3" w:rsidRPr="001C3CA3" w:rsidRDefault="001C3CA3" w:rsidP="001C3CA3">
      <w:pPr>
        <w:jc w:val="both"/>
        <w:rPr>
          <w:rFonts w:ascii="Arial" w:hAnsi="Arial" w:cs="Arial"/>
        </w:rPr>
      </w:pPr>
      <w:r w:rsidRPr="001C3CA3">
        <w:rPr>
          <w:rFonts w:ascii="Arial" w:hAnsi="Arial" w:cs="Arial"/>
        </w:rPr>
        <w:t xml:space="preserve">Nel </w:t>
      </w:r>
      <w:r>
        <w:rPr>
          <w:rFonts w:ascii="Arial" w:hAnsi="Arial" w:cs="Arial"/>
        </w:rPr>
        <w:t xml:space="preserve">testo, infine, </w:t>
      </w:r>
      <w:r w:rsidRPr="001C3CA3">
        <w:rPr>
          <w:rFonts w:ascii="Arial" w:hAnsi="Arial" w:cs="Arial"/>
        </w:rPr>
        <w:t>sono evidenziate le perplessità in merito a una lettura delle disposizioni di cui alla legge di bilancio 2025 volta a considerarle di natura interpretativa o ad attribuirle efficacia retroattiva.</w:t>
      </w:r>
    </w:p>
    <w:p w14:paraId="1323771E" w14:textId="5FB13083" w:rsidR="00437EA9" w:rsidRPr="00437EA9" w:rsidRDefault="00437EA9" w:rsidP="001C3CA3">
      <w:pPr>
        <w:jc w:val="both"/>
        <w:rPr>
          <w:rFonts w:ascii="Arial" w:hAnsi="Arial" w:cs="Arial"/>
        </w:rPr>
      </w:pPr>
    </w:p>
    <w:sectPr w:rsidR="00437EA9" w:rsidRPr="00437EA9">
      <w:headerReference w:type="default" r:id="rId6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2465371" w14:textId="77777777" w:rsidR="00B44264" w:rsidRDefault="00B44264" w:rsidP="008A20F9">
      <w:r>
        <w:separator/>
      </w:r>
    </w:p>
  </w:endnote>
  <w:endnote w:type="continuationSeparator" w:id="0">
    <w:p w14:paraId="441D3942" w14:textId="77777777" w:rsidR="00B44264" w:rsidRDefault="00B44264" w:rsidP="008A2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 (Corpo)">
    <w:altName w:val="Calibri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C154D2" w14:textId="77777777" w:rsidR="00B44264" w:rsidRDefault="00B44264" w:rsidP="008A20F9">
      <w:r>
        <w:separator/>
      </w:r>
    </w:p>
  </w:footnote>
  <w:footnote w:type="continuationSeparator" w:id="0">
    <w:p w14:paraId="1554AB1B" w14:textId="77777777" w:rsidR="00B44264" w:rsidRDefault="00B44264" w:rsidP="008A20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F8C168" w14:textId="7377384B" w:rsidR="008A20F9" w:rsidRDefault="008A20F9" w:rsidP="008A20F9">
    <w:pPr>
      <w:pStyle w:val="Intestazione"/>
      <w:jc w:val="center"/>
    </w:pPr>
    <w:r>
      <w:rPr>
        <w:noProof/>
      </w:rPr>
      <w:drawing>
        <wp:inline distT="0" distB="0" distL="0" distR="0" wp14:anchorId="3FB781BE" wp14:editId="7DF93075">
          <wp:extent cx="2314575" cy="786130"/>
          <wp:effectExtent l="0" t="0" r="0" b="0"/>
          <wp:docPr id="1" name="Immagine 1" descr="CNDCEC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magine 1" descr="CNDCEC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14575" cy="7861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59F9"/>
    <w:rsid w:val="00036A1E"/>
    <w:rsid w:val="00052BAB"/>
    <w:rsid w:val="00055F3C"/>
    <w:rsid w:val="00073211"/>
    <w:rsid w:val="000816F2"/>
    <w:rsid w:val="00081979"/>
    <w:rsid w:val="00082A9D"/>
    <w:rsid w:val="000A7CC9"/>
    <w:rsid w:val="000D27AC"/>
    <w:rsid w:val="000E5CC8"/>
    <w:rsid w:val="000E66F1"/>
    <w:rsid w:val="000E7227"/>
    <w:rsid w:val="000F3B82"/>
    <w:rsid w:val="000F792F"/>
    <w:rsid w:val="00115409"/>
    <w:rsid w:val="00123117"/>
    <w:rsid w:val="001326DC"/>
    <w:rsid w:val="001569C4"/>
    <w:rsid w:val="00176558"/>
    <w:rsid w:val="00184C9B"/>
    <w:rsid w:val="001936AE"/>
    <w:rsid w:val="00193ECA"/>
    <w:rsid w:val="001C3CA3"/>
    <w:rsid w:val="001F164F"/>
    <w:rsid w:val="00213E08"/>
    <w:rsid w:val="00230686"/>
    <w:rsid w:val="002330A2"/>
    <w:rsid w:val="00246A14"/>
    <w:rsid w:val="002509B2"/>
    <w:rsid w:val="00251068"/>
    <w:rsid w:val="00251F37"/>
    <w:rsid w:val="00253393"/>
    <w:rsid w:val="00253551"/>
    <w:rsid w:val="00264425"/>
    <w:rsid w:val="0026577C"/>
    <w:rsid w:val="00271D93"/>
    <w:rsid w:val="002957A8"/>
    <w:rsid w:val="002D55EB"/>
    <w:rsid w:val="002F4C13"/>
    <w:rsid w:val="00325C28"/>
    <w:rsid w:val="00336F75"/>
    <w:rsid w:val="00383E28"/>
    <w:rsid w:val="0039528E"/>
    <w:rsid w:val="003B396B"/>
    <w:rsid w:val="003F7323"/>
    <w:rsid w:val="00403777"/>
    <w:rsid w:val="00410A7B"/>
    <w:rsid w:val="00423A7B"/>
    <w:rsid w:val="00437EA9"/>
    <w:rsid w:val="00453CAC"/>
    <w:rsid w:val="00455CEA"/>
    <w:rsid w:val="00470DE9"/>
    <w:rsid w:val="00475192"/>
    <w:rsid w:val="004808BB"/>
    <w:rsid w:val="00495D0D"/>
    <w:rsid w:val="00497CC7"/>
    <w:rsid w:val="004B03D3"/>
    <w:rsid w:val="004E125E"/>
    <w:rsid w:val="004E232F"/>
    <w:rsid w:val="004F2874"/>
    <w:rsid w:val="005043FB"/>
    <w:rsid w:val="00505E0A"/>
    <w:rsid w:val="00517A64"/>
    <w:rsid w:val="00524C36"/>
    <w:rsid w:val="00560379"/>
    <w:rsid w:val="00582A23"/>
    <w:rsid w:val="005839A6"/>
    <w:rsid w:val="005948DF"/>
    <w:rsid w:val="00594B66"/>
    <w:rsid w:val="005A1CDB"/>
    <w:rsid w:val="005D113A"/>
    <w:rsid w:val="0061470B"/>
    <w:rsid w:val="00616738"/>
    <w:rsid w:val="0063007C"/>
    <w:rsid w:val="006359F9"/>
    <w:rsid w:val="006368B3"/>
    <w:rsid w:val="006406DF"/>
    <w:rsid w:val="0067508F"/>
    <w:rsid w:val="006933D2"/>
    <w:rsid w:val="006A3700"/>
    <w:rsid w:val="006D7DB0"/>
    <w:rsid w:val="006E5E70"/>
    <w:rsid w:val="00730088"/>
    <w:rsid w:val="007353A0"/>
    <w:rsid w:val="00737AB1"/>
    <w:rsid w:val="00750C0F"/>
    <w:rsid w:val="0079253B"/>
    <w:rsid w:val="00795EAF"/>
    <w:rsid w:val="007C0DA7"/>
    <w:rsid w:val="007D3A62"/>
    <w:rsid w:val="007E0C83"/>
    <w:rsid w:val="007E4A13"/>
    <w:rsid w:val="007F6A8D"/>
    <w:rsid w:val="0080260A"/>
    <w:rsid w:val="00814ADB"/>
    <w:rsid w:val="00842C15"/>
    <w:rsid w:val="008435D3"/>
    <w:rsid w:val="00881569"/>
    <w:rsid w:val="008A20F9"/>
    <w:rsid w:val="008A68AA"/>
    <w:rsid w:val="008B36DC"/>
    <w:rsid w:val="008B5892"/>
    <w:rsid w:val="008E6D2A"/>
    <w:rsid w:val="008F7875"/>
    <w:rsid w:val="00911316"/>
    <w:rsid w:val="00920E92"/>
    <w:rsid w:val="00960DAA"/>
    <w:rsid w:val="00976B3F"/>
    <w:rsid w:val="009B029E"/>
    <w:rsid w:val="009B69D9"/>
    <w:rsid w:val="009D653E"/>
    <w:rsid w:val="009D65D1"/>
    <w:rsid w:val="009D7B64"/>
    <w:rsid w:val="009D7DF7"/>
    <w:rsid w:val="009E7612"/>
    <w:rsid w:val="009F3790"/>
    <w:rsid w:val="00A02CDA"/>
    <w:rsid w:val="00A21A98"/>
    <w:rsid w:val="00A27EC8"/>
    <w:rsid w:val="00A75A96"/>
    <w:rsid w:val="00A83ACB"/>
    <w:rsid w:val="00A87349"/>
    <w:rsid w:val="00A9564E"/>
    <w:rsid w:val="00A961CD"/>
    <w:rsid w:val="00AB3193"/>
    <w:rsid w:val="00AB51FE"/>
    <w:rsid w:val="00AD683B"/>
    <w:rsid w:val="00AE5C47"/>
    <w:rsid w:val="00AF48E9"/>
    <w:rsid w:val="00AF496D"/>
    <w:rsid w:val="00B44264"/>
    <w:rsid w:val="00B622FF"/>
    <w:rsid w:val="00B81758"/>
    <w:rsid w:val="00B92B34"/>
    <w:rsid w:val="00BA7C01"/>
    <w:rsid w:val="00BD752B"/>
    <w:rsid w:val="00BE6B22"/>
    <w:rsid w:val="00C32D04"/>
    <w:rsid w:val="00C54A7A"/>
    <w:rsid w:val="00C653DB"/>
    <w:rsid w:val="00C71E02"/>
    <w:rsid w:val="00C751BF"/>
    <w:rsid w:val="00C8258D"/>
    <w:rsid w:val="00C93E34"/>
    <w:rsid w:val="00CC5721"/>
    <w:rsid w:val="00CC7EBC"/>
    <w:rsid w:val="00CD6241"/>
    <w:rsid w:val="00D4253F"/>
    <w:rsid w:val="00D52088"/>
    <w:rsid w:val="00D66040"/>
    <w:rsid w:val="00DA19F5"/>
    <w:rsid w:val="00DC26A1"/>
    <w:rsid w:val="00DC7953"/>
    <w:rsid w:val="00DD42BD"/>
    <w:rsid w:val="00DD4CF8"/>
    <w:rsid w:val="00DE22D9"/>
    <w:rsid w:val="00E01B44"/>
    <w:rsid w:val="00E31675"/>
    <w:rsid w:val="00E33560"/>
    <w:rsid w:val="00E63630"/>
    <w:rsid w:val="00E73941"/>
    <w:rsid w:val="00E8677B"/>
    <w:rsid w:val="00E87288"/>
    <w:rsid w:val="00E926E5"/>
    <w:rsid w:val="00EC353A"/>
    <w:rsid w:val="00EE4E51"/>
    <w:rsid w:val="00EE76A6"/>
    <w:rsid w:val="00EF333C"/>
    <w:rsid w:val="00EF7264"/>
    <w:rsid w:val="00F01297"/>
    <w:rsid w:val="00F01E5E"/>
    <w:rsid w:val="00F47EE2"/>
    <w:rsid w:val="00F6007F"/>
    <w:rsid w:val="00F72001"/>
    <w:rsid w:val="00F94166"/>
    <w:rsid w:val="00FB2BCB"/>
    <w:rsid w:val="00FF435B"/>
    <w:rsid w:val="00FF77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B6EAA4"/>
  <w15:chartTrackingRefBased/>
  <w15:docId w15:val="{736153C9-E62D-42C8-85B8-9DF4C53883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24C36"/>
    <w:pPr>
      <w:spacing w:after="0" w:line="240" w:lineRule="auto"/>
    </w:pPr>
    <w:rPr>
      <w:rFonts w:ascii="Aptos" w:hAnsi="Aptos" w:cs="Aptos"/>
      <w:kern w:val="0"/>
      <w:lang w:eastAsia="it-IT"/>
      <w14:ligatures w14:val="none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359F9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6359F9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6359F9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6359F9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lang w:eastAsia="en-US"/>
      <w14:ligatures w14:val="standardContextual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6359F9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lang w:eastAsia="en-US"/>
      <w14:ligatures w14:val="standardContextual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6359F9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lang w:eastAsia="en-US"/>
      <w14:ligatures w14:val="standardContextual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6359F9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lang w:eastAsia="en-US"/>
      <w14:ligatures w14:val="standardContextual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6359F9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lang w:eastAsia="en-US"/>
      <w14:ligatures w14:val="standardContextual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6359F9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lang w:eastAsia="en-US"/>
      <w14:ligatures w14:val="standardContextu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6359F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6359F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6359F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6359F9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6359F9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6359F9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6359F9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6359F9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6359F9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6359F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itoloCarattere">
    <w:name w:val="Titolo Carattere"/>
    <w:basedOn w:val="Carpredefinitoparagrafo"/>
    <w:link w:val="Titolo"/>
    <w:uiPriority w:val="10"/>
    <w:rsid w:val="006359F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6359F9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6359F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6359F9"/>
    <w:pPr>
      <w:spacing w:before="160" w:after="160" w:line="278" w:lineRule="auto"/>
      <w:jc w:val="center"/>
    </w:pPr>
    <w:rPr>
      <w:rFonts w:asciiTheme="minorHAnsi" w:hAnsiTheme="minorHAnsi" w:cstheme="minorBidi"/>
      <w:i/>
      <w:iCs/>
      <w:color w:val="404040" w:themeColor="text1" w:themeTint="BF"/>
      <w:kern w:val="2"/>
      <w:lang w:eastAsia="en-US"/>
      <w14:ligatures w14:val="standardContextual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6359F9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6359F9"/>
    <w:pPr>
      <w:spacing w:after="160" w:line="278" w:lineRule="auto"/>
      <w:ind w:left="720"/>
      <w:contextualSpacing/>
    </w:pPr>
    <w:rPr>
      <w:rFonts w:asciiTheme="minorHAnsi" w:hAnsiTheme="minorHAnsi" w:cstheme="minorBidi"/>
      <w:kern w:val="2"/>
      <w:lang w:eastAsia="en-US"/>
      <w14:ligatures w14:val="standardContextual"/>
    </w:rPr>
  </w:style>
  <w:style w:type="character" w:styleId="Enfasiintensa">
    <w:name w:val="Intense Emphasis"/>
    <w:basedOn w:val="Carpredefinitoparagrafo"/>
    <w:uiPriority w:val="21"/>
    <w:qFormat/>
    <w:rsid w:val="006359F9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6359F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hAnsiTheme="minorHAnsi" w:cstheme="minorBidi"/>
      <w:i/>
      <w:iCs/>
      <w:color w:val="0F4761" w:themeColor="accent1" w:themeShade="BF"/>
      <w:kern w:val="2"/>
      <w:lang w:eastAsia="en-US"/>
      <w14:ligatures w14:val="standardContextual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6359F9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6359F9"/>
    <w:rPr>
      <w:b/>
      <w:bCs/>
      <w:smallCaps/>
      <w:color w:val="0F4761" w:themeColor="accent1" w:themeShade="BF"/>
      <w:spacing w:val="5"/>
    </w:rPr>
  </w:style>
  <w:style w:type="character" w:styleId="Enfasigrassetto">
    <w:name w:val="Strong"/>
    <w:basedOn w:val="Carpredefinitoparagrafo"/>
    <w:uiPriority w:val="22"/>
    <w:qFormat/>
    <w:rsid w:val="00EC353A"/>
    <w:rPr>
      <w:b/>
      <w:bCs/>
    </w:rPr>
  </w:style>
  <w:style w:type="character" w:styleId="Enfasicorsivo">
    <w:name w:val="Emphasis"/>
    <w:basedOn w:val="Carpredefinitoparagrafo"/>
    <w:uiPriority w:val="20"/>
    <w:qFormat/>
    <w:rsid w:val="00EC353A"/>
    <w:rPr>
      <w:i/>
      <w:iCs/>
    </w:rPr>
  </w:style>
  <w:style w:type="paragraph" w:styleId="NormaleWeb">
    <w:name w:val="Normal (Web)"/>
    <w:basedOn w:val="Normale"/>
    <w:uiPriority w:val="99"/>
    <w:unhideWhenUsed/>
    <w:rsid w:val="00EC353A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Intestazione">
    <w:name w:val="header"/>
    <w:basedOn w:val="Normale"/>
    <w:link w:val="IntestazioneCarattere"/>
    <w:uiPriority w:val="99"/>
    <w:unhideWhenUsed/>
    <w:rsid w:val="008A20F9"/>
    <w:pPr>
      <w:tabs>
        <w:tab w:val="center" w:pos="4819"/>
        <w:tab w:val="right" w:pos="9638"/>
      </w:tabs>
    </w:pPr>
    <w:rPr>
      <w:rFonts w:asciiTheme="minorHAnsi" w:hAnsiTheme="minorHAnsi" w:cstheme="minorBidi"/>
      <w:kern w:val="2"/>
      <w:lang w:eastAsia="en-US"/>
      <w14:ligatures w14:val="standardContextual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8A20F9"/>
  </w:style>
  <w:style w:type="paragraph" w:styleId="Pidipagina">
    <w:name w:val="footer"/>
    <w:basedOn w:val="Normale"/>
    <w:link w:val="PidipaginaCarattere"/>
    <w:uiPriority w:val="99"/>
    <w:unhideWhenUsed/>
    <w:rsid w:val="008A20F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A20F9"/>
  </w:style>
  <w:style w:type="paragraph" w:customStyle="1" w:styleId="xmsonormal">
    <w:name w:val="x_msonormal"/>
    <w:basedOn w:val="Normale"/>
    <w:rsid w:val="00A83ACB"/>
  </w:style>
  <w:style w:type="paragraph" w:styleId="Testonotaapidipagina">
    <w:name w:val="footnote text"/>
    <w:aliases w:val="Nota_2,Testo nota a piè di pagina Carattere Carattere,Testo nota a piè di pagina Carattere1 Carattere Carattere,Testo nota a piè di pagina Carattere2 Carattere Carattere,note,o,stile 1,f"/>
    <w:basedOn w:val="Normale"/>
    <w:link w:val="TestonotaapidipaginaCarattere"/>
    <w:uiPriority w:val="99"/>
    <w:unhideWhenUsed/>
    <w:qFormat/>
    <w:rsid w:val="00184C9B"/>
    <w:pPr>
      <w:jc w:val="both"/>
    </w:pPr>
    <w:rPr>
      <w:rFonts w:asciiTheme="minorHAnsi" w:eastAsiaTheme="minorEastAsia" w:hAnsiTheme="minorHAnsi" w:cstheme="minorBidi"/>
      <w:color w:val="595959" w:themeColor="text1" w:themeTint="A6"/>
      <w:sz w:val="20"/>
      <w:szCs w:val="20"/>
      <w:lang w:eastAsia="en-US"/>
    </w:rPr>
  </w:style>
  <w:style w:type="character" w:customStyle="1" w:styleId="TestonotaapidipaginaCarattere">
    <w:name w:val="Testo nota a piè di pagina Carattere"/>
    <w:aliases w:val="Nota_2 Carattere,Testo nota a piè di pagina Carattere Carattere Carattere,Testo nota a piè di pagina Carattere1 Carattere Carattere Carattere,Testo nota a piè di pagina Carattere2 Carattere Carattere Carattere"/>
    <w:basedOn w:val="Carpredefinitoparagrafo"/>
    <w:link w:val="Testonotaapidipagina"/>
    <w:uiPriority w:val="99"/>
    <w:rsid w:val="00184C9B"/>
    <w:rPr>
      <w:rFonts w:eastAsiaTheme="minorEastAsia"/>
      <w:color w:val="595959" w:themeColor="text1" w:themeTint="A6"/>
      <w:kern w:val="0"/>
      <w:sz w:val="20"/>
      <w:szCs w:val="20"/>
      <w14:ligatures w14:val="none"/>
    </w:rPr>
  </w:style>
  <w:style w:type="character" w:styleId="Rimandonotaapidipagina">
    <w:name w:val="footnote reference"/>
    <w:aliases w:val="Rimando nota a piè di pagina 2,Testo a piè di pagina,(Footnote Reference),SUPERS,EN Footnote Reference,Footnote symbol,Footnote reference number,note TESI,Footnote,Footnote number,fr,Footnotemark,FR,Footnotemark1,Footnotemar"/>
    <w:uiPriority w:val="99"/>
    <w:unhideWhenUsed/>
    <w:rsid w:val="00184C9B"/>
    <w:rPr>
      <w:vertAlign w:val="superscript"/>
    </w:rPr>
  </w:style>
  <w:style w:type="paragraph" w:styleId="Sommario1">
    <w:name w:val="toc 1"/>
    <w:basedOn w:val="Normale"/>
    <w:next w:val="Normale"/>
    <w:autoRedefine/>
    <w:uiPriority w:val="39"/>
    <w:unhideWhenUsed/>
    <w:rsid w:val="00D4253F"/>
    <w:pPr>
      <w:tabs>
        <w:tab w:val="left" w:pos="7938"/>
      </w:tabs>
      <w:spacing w:before="200" w:after="80" w:line="264" w:lineRule="auto"/>
      <w:ind w:left="284" w:right="907" w:hanging="284"/>
      <w:jc w:val="both"/>
    </w:pPr>
    <w:rPr>
      <w:rFonts w:asciiTheme="minorHAnsi" w:eastAsiaTheme="minorEastAsia" w:hAnsiTheme="minorHAnsi" w:cs="Calibri (Corpo)"/>
      <w:bCs/>
      <w:smallCaps/>
      <w:noProof/>
      <w:color w:val="404040" w:themeColor="text1" w:themeTint="BF"/>
      <w:sz w:val="23"/>
      <w:szCs w:val="22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D4253F"/>
    <w:rPr>
      <w:color w:val="467886" w:themeColor="hyperlink"/>
      <w:u w:val="single"/>
    </w:rPr>
  </w:style>
  <w:style w:type="paragraph" w:styleId="Sommario2">
    <w:name w:val="toc 2"/>
    <w:basedOn w:val="Normale"/>
    <w:next w:val="Normale"/>
    <w:autoRedefine/>
    <w:uiPriority w:val="39"/>
    <w:unhideWhenUsed/>
    <w:rsid w:val="00D4253F"/>
    <w:pPr>
      <w:tabs>
        <w:tab w:val="left" w:pos="7938"/>
      </w:tabs>
      <w:spacing w:after="100" w:line="264" w:lineRule="auto"/>
      <w:ind w:left="709" w:right="2835" w:hanging="425"/>
      <w:jc w:val="both"/>
    </w:pPr>
    <w:rPr>
      <w:rFonts w:asciiTheme="minorHAnsi" w:eastAsiaTheme="minorEastAsia" w:hAnsiTheme="minorHAnsi" w:cstheme="minorBidi"/>
      <w:color w:val="404040" w:themeColor="text1" w:themeTint="BF"/>
      <w:sz w:val="21"/>
      <w:szCs w:val="21"/>
      <w:lang w:eastAsia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AF48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57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1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89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35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68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805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60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27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41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25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18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9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0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57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2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0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315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Mastrogiacomo Tiziana</dc:creator>
  <cp:keywords/>
  <dc:description/>
  <cp:lastModifiedBy>Mastrogiacomo Tiziana</cp:lastModifiedBy>
  <cp:revision>7</cp:revision>
  <dcterms:created xsi:type="dcterms:W3CDTF">2025-03-21T10:38:00Z</dcterms:created>
  <dcterms:modified xsi:type="dcterms:W3CDTF">2025-03-21T12:29:00Z</dcterms:modified>
</cp:coreProperties>
</file>