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C4066E" w:rsidRDefault="00505E0A" w:rsidP="0052455C">
      <w:pPr>
        <w:jc w:val="both"/>
        <w:rPr>
          <w:rFonts w:ascii="Arial" w:hAnsi="Arial" w:cs="Arial"/>
          <w:b/>
          <w:bCs/>
        </w:rPr>
      </w:pPr>
    </w:p>
    <w:p w14:paraId="2AE43ED5" w14:textId="77777777" w:rsidR="007E4A13" w:rsidRPr="005178A1" w:rsidRDefault="007E4A13" w:rsidP="005178A1">
      <w:pPr>
        <w:jc w:val="both"/>
        <w:rPr>
          <w:rFonts w:ascii="Arial" w:hAnsi="Arial" w:cs="Arial"/>
          <w:b/>
          <w:bCs/>
          <w:u w:val="single"/>
        </w:rPr>
      </w:pPr>
    </w:p>
    <w:p w14:paraId="4DBA66A4" w14:textId="1E6AB572" w:rsidR="004A198D" w:rsidRPr="005178A1" w:rsidRDefault="005178A1" w:rsidP="005178A1">
      <w:pPr>
        <w:jc w:val="center"/>
        <w:rPr>
          <w:rFonts w:ascii="Arial" w:eastAsia="Times New Roman" w:hAnsi="Arial" w:cs="Arial"/>
          <w:b/>
          <w:bCs/>
          <w:u w:val="single"/>
        </w:rPr>
      </w:pPr>
      <w:r w:rsidRPr="005178A1">
        <w:rPr>
          <w:rFonts w:ascii="Arial" w:eastAsia="Times New Roman" w:hAnsi="Arial" w:cs="Arial"/>
          <w:b/>
          <w:bCs/>
          <w:u w:val="single"/>
        </w:rPr>
        <w:t>COMUNICATO STAMPA</w:t>
      </w:r>
    </w:p>
    <w:p w14:paraId="13496FC1" w14:textId="77777777" w:rsidR="004A198D" w:rsidRPr="005178A1" w:rsidRDefault="004A198D" w:rsidP="005178A1">
      <w:pPr>
        <w:jc w:val="both"/>
        <w:rPr>
          <w:rFonts w:ascii="Arial" w:eastAsia="Times New Roman" w:hAnsi="Arial" w:cs="Arial"/>
          <w:u w:val="single"/>
        </w:rPr>
      </w:pPr>
    </w:p>
    <w:p w14:paraId="21837E4D" w14:textId="77777777" w:rsidR="00186A40" w:rsidRPr="004425A5" w:rsidRDefault="00186A40" w:rsidP="00186A40">
      <w:pPr>
        <w:jc w:val="center"/>
        <w:rPr>
          <w:rFonts w:ascii="Arial" w:hAnsi="Arial" w:cs="Arial"/>
        </w:rPr>
      </w:pPr>
    </w:p>
    <w:p w14:paraId="4C91168E" w14:textId="6A8C729B" w:rsidR="00186A40" w:rsidRDefault="00186A40" w:rsidP="00186A40">
      <w:pPr>
        <w:jc w:val="center"/>
        <w:rPr>
          <w:rFonts w:ascii="Arial" w:hAnsi="Arial" w:cs="Arial"/>
          <w:b/>
          <w:bCs/>
        </w:rPr>
      </w:pPr>
      <w:r w:rsidRPr="004425A5">
        <w:rPr>
          <w:rFonts w:ascii="Arial" w:hAnsi="Arial" w:cs="Arial"/>
          <w:b/>
          <w:bCs/>
        </w:rPr>
        <w:t xml:space="preserve"> “L’ECCESSO DI PRUDENZA </w:t>
      </w:r>
      <w:r>
        <w:rPr>
          <w:rFonts w:ascii="Arial" w:hAnsi="Arial" w:cs="Arial"/>
          <w:b/>
          <w:bCs/>
        </w:rPr>
        <w:t xml:space="preserve">NELLE VALUTAZIONI </w:t>
      </w:r>
      <w:r w:rsidRPr="004425A5">
        <w:rPr>
          <w:rFonts w:ascii="Arial" w:hAnsi="Arial" w:cs="Arial"/>
          <w:b/>
          <w:bCs/>
        </w:rPr>
        <w:t xml:space="preserve">NON CONFIGURA UN </w:t>
      </w:r>
      <w:r w:rsidR="00EC6423">
        <w:rPr>
          <w:rFonts w:ascii="Arial" w:hAnsi="Arial" w:cs="Arial"/>
          <w:b/>
          <w:bCs/>
        </w:rPr>
        <w:t>ILLECITO</w:t>
      </w:r>
      <w:r w:rsidRPr="004425A5">
        <w:rPr>
          <w:rFonts w:ascii="Arial" w:hAnsi="Arial" w:cs="Arial"/>
          <w:b/>
          <w:bCs/>
        </w:rPr>
        <w:t xml:space="preserve"> PENALE”</w:t>
      </w:r>
    </w:p>
    <w:p w14:paraId="4059A0DF" w14:textId="77777777" w:rsidR="0082070A" w:rsidRPr="004425A5" w:rsidRDefault="0082070A" w:rsidP="00186A40">
      <w:pPr>
        <w:jc w:val="center"/>
        <w:rPr>
          <w:rFonts w:ascii="Arial" w:hAnsi="Arial" w:cs="Arial"/>
          <w:b/>
          <w:bCs/>
        </w:rPr>
      </w:pPr>
    </w:p>
    <w:p w14:paraId="751B2378" w14:textId="497D5D0F" w:rsidR="00186A40" w:rsidRDefault="0082070A" w:rsidP="00186A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È </w:t>
      </w:r>
      <w:r w:rsidR="00186A40">
        <w:rPr>
          <w:rFonts w:ascii="Arial" w:hAnsi="Arial" w:cs="Arial"/>
          <w:b/>
          <w:bCs/>
        </w:rPr>
        <w:t>quanto emerso nel corso di un convegno svoltosi oggi a Roma</w:t>
      </w:r>
    </w:p>
    <w:p w14:paraId="1E5D16CD" w14:textId="77777777" w:rsidR="00186A40" w:rsidRPr="004425A5" w:rsidRDefault="00186A40" w:rsidP="00186A40">
      <w:pPr>
        <w:jc w:val="center"/>
        <w:rPr>
          <w:rFonts w:ascii="Arial" w:hAnsi="Arial" w:cs="Arial"/>
          <w:b/>
          <w:bCs/>
        </w:rPr>
      </w:pPr>
    </w:p>
    <w:p w14:paraId="2D2CA34A" w14:textId="77777777" w:rsidR="00186A40" w:rsidRDefault="00186A40" w:rsidP="00186A40">
      <w:pPr>
        <w:jc w:val="both"/>
        <w:rPr>
          <w:rFonts w:ascii="Arial" w:hAnsi="Arial" w:cs="Arial"/>
        </w:rPr>
      </w:pPr>
      <w:r w:rsidRPr="004425A5">
        <w:rPr>
          <w:rFonts w:ascii="Arial" w:hAnsi="Arial" w:cs="Arial"/>
          <w:i/>
          <w:iCs/>
        </w:rPr>
        <w:t>Roma, 20 marzo 2025 -</w:t>
      </w:r>
      <w:r>
        <w:rPr>
          <w:rFonts w:ascii="Arial" w:hAnsi="Arial" w:cs="Arial"/>
        </w:rPr>
        <w:t xml:space="preserve"> </w:t>
      </w:r>
      <w:r w:rsidRPr="004425A5">
        <w:rPr>
          <w:rFonts w:ascii="Arial" w:hAnsi="Arial" w:cs="Arial"/>
        </w:rPr>
        <w:t>“</w:t>
      </w:r>
      <w:r w:rsidRPr="004425A5">
        <w:rPr>
          <w:rFonts w:ascii="Arial" w:hAnsi="Arial" w:cs="Arial"/>
          <w:b/>
          <w:bCs/>
        </w:rPr>
        <w:t>La prudenza nelle valutazioni aziendali</w:t>
      </w:r>
      <w:r w:rsidRPr="004425A5">
        <w:rPr>
          <w:rFonts w:ascii="Arial" w:hAnsi="Arial" w:cs="Arial"/>
        </w:rPr>
        <w:t xml:space="preserve">” è il titolo del convegno svoltosi oggi a Roma presso la </w:t>
      </w:r>
      <w:r w:rsidRPr="004425A5">
        <w:rPr>
          <w:rFonts w:ascii="Arial" w:hAnsi="Arial" w:cs="Arial"/>
          <w:b/>
          <w:bCs/>
        </w:rPr>
        <w:t>Sala Matteotti</w:t>
      </w:r>
      <w:r w:rsidRPr="004425A5">
        <w:rPr>
          <w:rFonts w:ascii="Arial" w:hAnsi="Arial" w:cs="Arial"/>
        </w:rPr>
        <w:t xml:space="preserve"> della </w:t>
      </w:r>
      <w:r w:rsidRPr="004425A5">
        <w:rPr>
          <w:rFonts w:ascii="Arial" w:hAnsi="Arial" w:cs="Arial"/>
          <w:b/>
          <w:bCs/>
        </w:rPr>
        <w:t>Camera dei deputati</w:t>
      </w:r>
      <w:r w:rsidRPr="004425A5">
        <w:rPr>
          <w:rFonts w:ascii="Arial" w:hAnsi="Arial" w:cs="Arial"/>
        </w:rPr>
        <w:t xml:space="preserve">, in </w:t>
      </w:r>
      <w:r w:rsidRPr="004425A5">
        <w:rPr>
          <w:rFonts w:ascii="Arial" w:hAnsi="Arial" w:cs="Arial"/>
          <w:b/>
          <w:bCs/>
        </w:rPr>
        <w:t>Piazza del Parlamento 19</w:t>
      </w:r>
      <w:r w:rsidRPr="004425A5">
        <w:rPr>
          <w:rFonts w:ascii="Arial" w:hAnsi="Arial" w:cs="Arial"/>
        </w:rPr>
        <w:t xml:space="preserve">. All’evento, promosso dal Consiglio nazionale dei commercialisti, hanno preso parte, assieme al presidente nazionale della categoria </w:t>
      </w:r>
      <w:r w:rsidRPr="004425A5">
        <w:rPr>
          <w:rFonts w:ascii="Arial" w:hAnsi="Arial" w:cs="Arial"/>
          <w:b/>
          <w:bCs/>
        </w:rPr>
        <w:t>Elbano de Nuccio</w:t>
      </w:r>
      <w:r w:rsidRPr="004425A5">
        <w:rPr>
          <w:rFonts w:ascii="Arial" w:hAnsi="Arial" w:cs="Arial"/>
        </w:rPr>
        <w:t xml:space="preserve">, l’Onorevole </w:t>
      </w:r>
      <w:r w:rsidRPr="004425A5">
        <w:rPr>
          <w:rFonts w:ascii="Arial" w:hAnsi="Arial" w:cs="Arial"/>
          <w:b/>
          <w:bCs/>
        </w:rPr>
        <w:t>Chiara Tenerini</w:t>
      </w:r>
      <w:r w:rsidRPr="004425A5">
        <w:rPr>
          <w:rFonts w:ascii="Arial" w:hAnsi="Arial" w:cs="Arial"/>
        </w:rPr>
        <w:t xml:space="preserve">, capogruppo di Forza Italia in Commissione lavoro alla Camera, </w:t>
      </w:r>
      <w:r w:rsidRPr="004425A5">
        <w:rPr>
          <w:rFonts w:ascii="Arial" w:hAnsi="Arial" w:cs="Arial"/>
          <w:b/>
          <w:bCs/>
        </w:rPr>
        <w:t xml:space="preserve">Tommaso Miele, </w:t>
      </w:r>
      <w:r w:rsidRPr="00AD373A">
        <w:rPr>
          <w:rFonts w:ascii="Arial" w:hAnsi="Arial" w:cs="Arial"/>
        </w:rPr>
        <w:t>Presidente aggiunto della Corte dei conti</w:t>
      </w:r>
      <w:r w:rsidRPr="004425A5">
        <w:rPr>
          <w:rFonts w:ascii="Arial" w:hAnsi="Arial" w:cs="Arial"/>
        </w:rPr>
        <w:t xml:space="preserve">, </w:t>
      </w:r>
      <w:r w:rsidRPr="004425A5">
        <w:rPr>
          <w:rFonts w:ascii="Arial" w:hAnsi="Arial" w:cs="Arial"/>
          <w:b/>
          <w:bCs/>
        </w:rPr>
        <w:t>Sandro Raimondi</w:t>
      </w:r>
      <w:r w:rsidRPr="004425A5">
        <w:rPr>
          <w:rFonts w:ascii="Arial" w:hAnsi="Arial" w:cs="Arial"/>
        </w:rPr>
        <w:t xml:space="preserve">, procuratore della Repubblica di Trento, </w:t>
      </w:r>
      <w:r w:rsidRPr="004425A5">
        <w:rPr>
          <w:rFonts w:ascii="Arial" w:hAnsi="Arial" w:cs="Arial"/>
          <w:b/>
          <w:bCs/>
        </w:rPr>
        <w:t>Giovanni Barbara</w:t>
      </w:r>
      <w:r w:rsidRPr="004425A5">
        <w:rPr>
          <w:rFonts w:ascii="Arial" w:hAnsi="Arial" w:cs="Arial"/>
        </w:rPr>
        <w:t xml:space="preserve">, della Libera università mediterranea “Giuseppe Degennaro” e il professore </w:t>
      </w:r>
      <w:r w:rsidRPr="004425A5">
        <w:rPr>
          <w:rFonts w:ascii="Arial" w:hAnsi="Arial" w:cs="Arial"/>
          <w:b/>
          <w:bCs/>
        </w:rPr>
        <w:t>Edgardo Ricciardello</w:t>
      </w:r>
      <w:r w:rsidRPr="004425A5">
        <w:rPr>
          <w:rFonts w:ascii="Arial" w:hAnsi="Arial" w:cs="Arial"/>
        </w:rPr>
        <w:t xml:space="preserve">, dell’Università Alma mater di Bologna. </w:t>
      </w:r>
    </w:p>
    <w:p w14:paraId="679A7086" w14:textId="77777777" w:rsidR="00186A40" w:rsidRPr="004425A5" w:rsidRDefault="00186A40" w:rsidP="00186A40">
      <w:pPr>
        <w:jc w:val="both"/>
        <w:rPr>
          <w:rFonts w:ascii="Arial" w:hAnsi="Arial" w:cs="Arial"/>
        </w:rPr>
      </w:pPr>
    </w:p>
    <w:p w14:paraId="2481088E" w14:textId="77777777" w:rsidR="00186A40" w:rsidRPr="004425A5" w:rsidRDefault="00186A40" w:rsidP="00186A40">
      <w:pPr>
        <w:jc w:val="both"/>
        <w:rPr>
          <w:rFonts w:ascii="Arial" w:hAnsi="Arial" w:cs="Arial"/>
        </w:rPr>
      </w:pPr>
      <w:r w:rsidRPr="004425A5">
        <w:rPr>
          <w:rFonts w:ascii="Arial" w:hAnsi="Arial" w:cs="Arial"/>
        </w:rPr>
        <w:t xml:space="preserve">La prudenza valutativa è un </w:t>
      </w:r>
      <w:r w:rsidRPr="004425A5">
        <w:rPr>
          <w:rFonts w:ascii="Arial" w:hAnsi="Arial" w:cs="Arial"/>
          <w:b/>
          <w:bCs/>
        </w:rPr>
        <w:t>principio fondamentale</w:t>
      </w:r>
      <w:r w:rsidRPr="004425A5">
        <w:rPr>
          <w:rFonts w:ascii="Arial" w:hAnsi="Arial" w:cs="Arial"/>
        </w:rPr>
        <w:t xml:space="preserve"> che governa la </w:t>
      </w:r>
      <w:r w:rsidRPr="004425A5">
        <w:rPr>
          <w:rFonts w:ascii="Arial" w:hAnsi="Arial" w:cs="Arial"/>
          <w:b/>
          <w:bCs/>
        </w:rPr>
        <w:t>contabilità aziendale</w:t>
      </w:r>
      <w:r w:rsidRPr="004425A5">
        <w:rPr>
          <w:rFonts w:ascii="Arial" w:hAnsi="Arial" w:cs="Arial"/>
        </w:rPr>
        <w:t xml:space="preserve"> e la </w:t>
      </w:r>
      <w:r w:rsidRPr="004425A5">
        <w:rPr>
          <w:rFonts w:ascii="Arial" w:hAnsi="Arial" w:cs="Arial"/>
          <w:b/>
          <w:bCs/>
        </w:rPr>
        <w:t>formazione dei bilanci</w:t>
      </w:r>
      <w:r w:rsidRPr="004425A5">
        <w:rPr>
          <w:rFonts w:ascii="Arial" w:hAnsi="Arial" w:cs="Arial"/>
        </w:rPr>
        <w:t xml:space="preserve"> al fine di consentire a soci, terzi creditori e mercati finanziari di essere considerati accurati, affidabili e degni di fiducia. Attraverso la prudenza valutativa, i bilanci rappresentano in </w:t>
      </w:r>
      <w:r w:rsidRPr="004425A5">
        <w:rPr>
          <w:rFonts w:ascii="Arial" w:hAnsi="Arial" w:cs="Arial"/>
          <w:b/>
          <w:bCs/>
        </w:rPr>
        <w:t>modo veritiero</w:t>
      </w:r>
      <w:r w:rsidRPr="004425A5">
        <w:rPr>
          <w:rFonts w:ascii="Arial" w:hAnsi="Arial" w:cs="Arial"/>
        </w:rPr>
        <w:t xml:space="preserve"> profitti e perdite e più in generale la situazione finanziaria e la performance aziendale, evitando di sovrastimare componenti positivi e sottostimare componenti negativi. </w:t>
      </w:r>
    </w:p>
    <w:p w14:paraId="485CCEF8" w14:textId="77777777" w:rsidR="00186A40" w:rsidRDefault="00186A40" w:rsidP="00186A40">
      <w:pPr>
        <w:jc w:val="both"/>
        <w:rPr>
          <w:rFonts w:ascii="Arial" w:hAnsi="Arial" w:cs="Arial"/>
        </w:rPr>
      </w:pPr>
    </w:p>
    <w:p w14:paraId="0531EBAF" w14:textId="2ADBABDC" w:rsidR="00186A40" w:rsidRDefault="00186A40" w:rsidP="00186A40">
      <w:pPr>
        <w:jc w:val="both"/>
        <w:rPr>
          <w:rFonts w:ascii="Arial" w:hAnsi="Arial" w:cs="Arial"/>
        </w:rPr>
      </w:pPr>
      <w:r w:rsidRPr="004425A5">
        <w:rPr>
          <w:rFonts w:ascii="Arial" w:hAnsi="Arial" w:cs="Arial"/>
        </w:rPr>
        <w:t xml:space="preserve">“È bene chiarire – ha affermato </w:t>
      </w:r>
      <w:r w:rsidRPr="004425A5">
        <w:rPr>
          <w:rFonts w:ascii="Arial" w:hAnsi="Arial" w:cs="Arial"/>
          <w:b/>
          <w:bCs/>
        </w:rPr>
        <w:t>de Nuccio</w:t>
      </w:r>
      <w:r w:rsidRPr="004425A5">
        <w:rPr>
          <w:rFonts w:ascii="Arial" w:hAnsi="Arial" w:cs="Arial"/>
        </w:rPr>
        <w:t xml:space="preserve"> nella sua relazione - che non esistono, di per sé, valutazioni prudenti. Esistono </w:t>
      </w:r>
      <w:r w:rsidRPr="004425A5">
        <w:rPr>
          <w:rFonts w:ascii="Arial" w:hAnsi="Arial" w:cs="Arial"/>
          <w:b/>
          <w:bCs/>
        </w:rPr>
        <w:t xml:space="preserve">valutazioni “fatte bene” </w:t>
      </w:r>
      <w:r w:rsidRPr="004425A5">
        <w:rPr>
          <w:rFonts w:ascii="Arial" w:hAnsi="Arial" w:cs="Arial"/>
        </w:rPr>
        <w:t>o</w:t>
      </w:r>
      <w:r w:rsidRPr="004425A5">
        <w:rPr>
          <w:rFonts w:ascii="Arial" w:hAnsi="Arial" w:cs="Arial"/>
          <w:b/>
          <w:bCs/>
        </w:rPr>
        <w:t xml:space="preserve"> valutazioni “fatte male”</w:t>
      </w:r>
      <w:r w:rsidRPr="004425A5">
        <w:rPr>
          <w:rFonts w:ascii="Arial" w:hAnsi="Arial" w:cs="Arial"/>
        </w:rPr>
        <w:t xml:space="preserve">. Una valutazione è fatta bene quando segue una </w:t>
      </w:r>
      <w:r w:rsidRPr="004425A5">
        <w:rPr>
          <w:rFonts w:ascii="Arial" w:hAnsi="Arial" w:cs="Arial"/>
          <w:b/>
          <w:bCs/>
        </w:rPr>
        <w:t>logica razionale</w:t>
      </w:r>
      <w:r w:rsidRPr="004425A5">
        <w:rPr>
          <w:rFonts w:ascii="Arial" w:hAnsi="Arial" w:cs="Arial"/>
        </w:rPr>
        <w:t xml:space="preserve"> per la sua determinazione, adottando </w:t>
      </w:r>
      <w:r w:rsidRPr="004425A5">
        <w:rPr>
          <w:rFonts w:ascii="Arial" w:hAnsi="Arial" w:cs="Arial"/>
          <w:b/>
          <w:bCs/>
        </w:rPr>
        <w:t>assunzioni concettualmente accettabili</w:t>
      </w:r>
      <w:r w:rsidRPr="004425A5">
        <w:rPr>
          <w:rFonts w:ascii="Arial" w:hAnsi="Arial" w:cs="Arial"/>
        </w:rPr>
        <w:t xml:space="preserve"> e producendo un </w:t>
      </w:r>
      <w:r w:rsidRPr="004425A5">
        <w:rPr>
          <w:rFonts w:ascii="Arial" w:hAnsi="Arial" w:cs="Arial"/>
          <w:b/>
          <w:bCs/>
        </w:rPr>
        <w:t>valore coerente</w:t>
      </w:r>
      <w:r w:rsidRPr="004425A5">
        <w:rPr>
          <w:rFonts w:ascii="Arial" w:hAnsi="Arial" w:cs="Arial"/>
        </w:rPr>
        <w:t xml:space="preserve"> sotto forma di </w:t>
      </w:r>
      <w:r w:rsidRPr="004425A5">
        <w:rPr>
          <w:rFonts w:ascii="Arial" w:hAnsi="Arial" w:cs="Arial"/>
          <w:b/>
          <w:bCs/>
        </w:rPr>
        <w:t>metrica monetaria</w:t>
      </w:r>
      <w:r w:rsidRPr="004425A5">
        <w:rPr>
          <w:rFonts w:ascii="Arial" w:hAnsi="Arial" w:cs="Arial"/>
        </w:rPr>
        <w:t xml:space="preserve"> che segue un processo di </w:t>
      </w:r>
      <w:r w:rsidRPr="004425A5">
        <w:rPr>
          <w:rFonts w:ascii="Arial" w:hAnsi="Arial" w:cs="Arial"/>
          <w:b/>
          <w:bCs/>
        </w:rPr>
        <w:t>stima corretto</w:t>
      </w:r>
      <w:r w:rsidRPr="004425A5">
        <w:rPr>
          <w:rFonts w:ascii="Arial" w:hAnsi="Arial" w:cs="Arial"/>
        </w:rPr>
        <w:t>”.</w:t>
      </w:r>
    </w:p>
    <w:p w14:paraId="2D97E78E" w14:textId="77777777" w:rsidR="00186A40" w:rsidRPr="004425A5" w:rsidRDefault="00186A40" w:rsidP="00186A40">
      <w:pPr>
        <w:jc w:val="both"/>
        <w:rPr>
          <w:rFonts w:ascii="Arial" w:hAnsi="Arial" w:cs="Arial"/>
        </w:rPr>
      </w:pPr>
    </w:p>
    <w:p w14:paraId="672B3F9C" w14:textId="77777777" w:rsidR="00186A40" w:rsidRPr="004425A5" w:rsidRDefault="00186A40" w:rsidP="00186A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425A5">
        <w:rPr>
          <w:rFonts w:ascii="Arial" w:hAnsi="Arial" w:cs="Arial"/>
        </w:rPr>
        <w:t xml:space="preserve">Come chiarito dalla sentenza delle Sezioni Unite della Corte di cassazione n. 22474 del 31 maggio 2016 </w:t>
      </w:r>
      <w:r>
        <w:rPr>
          <w:rFonts w:ascii="Arial" w:hAnsi="Arial" w:cs="Arial"/>
        </w:rPr>
        <w:t xml:space="preserve">– ha proseguito - </w:t>
      </w:r>
      <w:r w:rsidRPr="004425A5">
        <w:rPr>
          <w:rFonts w:ascii="Arial" w:hAnsi="Arial" w:cs="Arial"/>
        </w:rPr>
        <w:t xml:space="preserve">il </w:t>
      </w:r>
      <w:r w:rsidRPr="004425A5">
        <w:rPr>
          <w:rFonts w:ascii="Arial" w:hAnsi="Arial" w:cs="Arial"/>
          <w:b/>
          <w:bCs/>
        </w:rPr>
        <w:t>reato di falso valutativo</w:t>
      </w:r>
      <w:r w:rsidRPr="004425A5">
        <w:rPr>
          <w:rFonts w:ascii="Arial" w:hAnsi="Arial" w:cs="Arial"/>
        </w:rPr>
        <w:t xml:space="preserve">, pur incentrato su stime e giudizi soggettivi, si configura laddove tali valutazioni siano effettuate in </w:t>
      </w:r>
      <w:r w:rsidRPr="004425A5">
        <w:rPr>
          <w:rFonts w:ascii="Arial" w:hAnsi="Arial" w:cs="Arial"/>
          <w:b/>
          <w:bCs/>
        </w:rPr>
        <w:t>maniera irragionevole</w:t>
      </w:r>
      <w:r w:rsidRPr="004425A5">
        <w:rPr>
          <w:rFonts w:ascii="Arial" w:hAnsi="Arial" w:cs="Arial"/>
        </w:rPr>
        <w:t xml:space="preserve"> e tale da </w:t>
      </w:r>
      <w:r w:rsidRPr="004425A5">
        <w:rPr>
          <w:rFonts w:ascii="Arial" w:hAnsi="Arial" w:cs="Arial"/>
          <w:b/>
          <w:bCs/>
        </w:rPr>
        <w:t>alterare sostanzialmente</w:t>
      </w:r>
      <w:r w:rsidRPr="004425A5">
        <w:rPr>
          <w:rFonts w:ascii="Arial" w:hAnsi="Arial" w:cs="Arial"/>
        </w:rPr>
        <w:t xml:space="preserve"> la rappresentazione della situazione patrimoniale, economica o finanziaria della società”.</w:t>
      </w:r>
    </w:p>
    <w:p w14:paraId="6EFE004A" w14:textId="77777777" w:rsidR="00186A40" w:rsidRDefault="00186A40" w:rsidP="00186A40">
      <w:pPr>
        <w:jc w:val="both"/>
        <w:rPr>
          <w:rFonts w:ascii="Arial" w:hAnsi="Arial" w:cs="Arial"/>
        </w:rPr>
      </w:pPr>
    </w:p>
    <w:p w14:paraId="013435DE" w14:textId="2B7CD4D7" w:rsidR="00186A40" w:rsidRPr="004425A5" w:rsidRDefault="00186A40" w:rsidP="00186A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il presidente dei Commercialisti “s</w:t>
      </w:r>
      <w:r w:rsidRPr="004425A5">
        <w:rPr>
          <w:rFonts w:ascii="Arial" w:hAnsi="Arial" w:cs="Arial"/>
        </w:rPr>
        <w:t xml:space="preserve">i può parlare di una responsabilità penale </w:t>
      </w:r>
      <w:r w:rsidRPr="004425A5">
        <w:rPr>
          <w:rFonts w:ascii="Arial" w:hAnsi="Arial" w:cs="Arial"/>
          <w:b/>
          <w:bCs/>
        </w:rPr>
        <w:t>solo quando</w:t>
      </w:r>
      <w:r w:rsidRPr="004425A5">
        <w:rPr>
          <w:rFonts w:ascii="Arial" w:hAnsi="Arial" w:cs="Arial"/>
        </w:rPr>
        <w:t xml:space="preserve"> il grado di cautela richiesto dalla prassi contabile agli amministratori non solo non è amministrativamente presente, </w:t>
      </w:r>
      <w:r w:rsidRPr="004425A5">
        <w:rPr>
          <w:rFonts w:ascii="Arial" w:hAnsi="Arial" w:cs="Arial"/>
          <w:b/>
          <w:bCs/>
        </w:rPr>
        <w:t>ma è volutamente assente</w:t>
      </w:r>
      <w:r w:rsidRPr="004425A5">
        <w:rPr>
          <w:rFonts w:ascii="Arial" w:hAnsi="Arial" w:cs="Arial"/>
        </w:rPr>
        <w:t xml:space="preserve">”. </w:t>
      </w:r>
    </w:p>
    <w:p w14:paraId="0DA703F9" w14:textId="14FBF8C6" w:rsidR="00C4066E" w:rsidRPr="005178A1" w:rsidRDefault="00C4066E" w:rsidP="00186A40">
      <w:pPr>
        <w:jc w:val="both"/>
        <w:rPr>
          <w:rFonts w:ascii="Arial" w:eastAsia="Times New Roman" w:hAnsi="Arial" w:cs="Arial"/>
        </w:rPr>
      </w:pPr>
    </w:p>
    <w:sectPr w:rsidR="00C4066E" w:rsidRPr="005178A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BBFF" w14:textId="77777777" w:rsidR="00C04C5E" w:rsidRDefault="00C04C5E" w:rsidP="008A20F9">
      <w:r>
        <w:separator/>
      </w:r>
    </w:p>
  </w:endnote>
  <w:endnote w:type="continuationSeparator" w:id="0">
    <w:p w14:paraId="336960A1" w14:textId="77777777" w:rsidR="00C04C5E" w:rsidRDefault="00C04C5E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C6F2" w14:textId="77777777" w:rsidR="00C04C5E" w:rsidRDefault="00C04C5E" w:rsidP="008A20F9">
      <w:r>
        <w:separator/>
      </w:r>
    </w:p>
  </w:footnote>
  <w:footnote w:type="continuationSeparator" w:id="0">
    <w:p w14:paraId="3E087FB0" w14:textId="77777777" w:rsidR="00C04C5E" w:rsidRDefault="00C04C5E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A42"/>
    <w:multiLevelType w:val="multilevel"/>
    <w:tmpl w:val="26C2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073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2297E"/>
    <w:rsid w:val="00025F77"/>
    <w:rsid w:val="00036A1E"/>
    <w:rsid w:val="00051F78"/>
    <w:rsid w:val="00052BAB"/>
    <w:rsid w:val="00055F3C"/>
    <w:rsid w:val="000645C4"/>
    <w:rsid w:val="00073211"/>
    <w:rsid w:val="000816F2"/>
    <w:rsid w:val="00081979"/>
    <w:rsid w:val="00082A9D"/>
    <w:rsid w:val="00093929"/>
    <w:rsid w:val="00096EC3"/>
    <w:rsid w:val="000A7CC9"/>
    <w:rsid w:val="000C25C8"/>
    <w:rsid w:val="000C3B4A"/>
    <w:rsid w:val="000C5575"/>
    <w:rsid w:val="000D27AC"/>
    <w:rsid w:val="000E5CC8"/>
    <w:rsid w:val="000E66F1"/>
    <w:rsid w:val="000E7227"/>
    <w:rsid w:val="000F3B82"/>
    <w:rsid w:val="000F6B5E"/>
    <w:rsid w:val="00110B5E"/>
    <w:rsid w:val="00115409"/>
    <w:rsid w:val="00123117"/>
    <w:rsid w:val="001326DC"/>
    <w:rsid w:val="00133D10"/>
    <w:rsid w:val="001569C4"/>
    <w:rsid w:val="00184C9B"/>
    <w:rsid w:val="00186A40"/>
    <w:rsid w:val="001936AE"/>
    <w:rsid w:val="00193ECA"/>
    <w:rsid w:val="001C790F"/>
    <w:rsid w:val="001E18CB"/>
    <w:rsid w:val="001E3FC6"/>
    <w:rsid w:val="001F164F"/>
    <w:rsid w:val="002021CA"/>
    <w:rsid w:val="00204F36"/>
    <w:rsid w:val="00213E08"/>
    <w:rsid w:val="002208E1"/>
    <w:rsid w:val="002250D6"/>
    <w:rsid w:val="00230686"/>
    <w:rsid w:val="002330A2"/>
    <w:rsid w:val="002419CE"/>
    <w:rsid w:val="00242AAC"/>
    <w:rsid w:val="00246A14"/>
    <w:rsid w:val="002509B2"/>
    <w:rsid w:val="00251068"/>
    <w:rsid w:val="00251F37"/>
    <w:rsid w:val="00252946"/>
    <w:rsid w:val="00253393"/>
    <w:rsid w:val="00253551"/>
    <w:rsid w:val="00264179"/>
    <w:rsid w:val="00264425"/>
    <w:rsid w:val="0026577C"/>
    <w:rsid w:val="00271D93"/>
    <w:rsid w:val="0029281A"/>
    <w:rsid w:val="002957A8"/>
    <w:rsid w:val="002D55EB"/>
    <w:rsid w:val="002E3D8B"/>
    <w:rsid w:val="002F4C13"/>
    <w:rsid w:val="0032235E"/>
    <w:rsid w:val="00325C28"/>
    <w:rsid w:val="00336F75"/>
    <w:rsid w:val="00344711"/>
    <w:rsid w:val="00383E28"/>
    <w:rsid w:val="00391DE2"/>
    <w:rsid w:val="0039528E"/>
    <w:rsid w:val="003B396B"/>
    <w:rsid w:val="003B4FC6"/>
    <w:rsid w:val="003E08CF"/>
    <w:rsid w:val="003F7323"/>
    <w:rsid w:val="00403777"/>
    <w:rsid w:val="00410A7B"/>
    <w:rsid w:val="00423A7B"/>
    <w:rsid w:val="00437EA9"/>
    <w:rsid w:val="0045392D"/>
    <w:rsid w:val="00453CAC"/>
    <w:rsid w:val="00455CEA"/>
    <w:rsid w:val="00470DE9"/>
    <w:rsid w:val="00475192"/>
    <w:rsid w:val="004808BB"/>
    <w:rsid w:val="00495D0D"/>
    <w:rsid w:val="00497CC7"/>
    <w:rsid w:val="004A198D"/>
    <w:rsid w:val="004B03D3"/>
    <w:rsid w:val="004E125E"/>
    <w:rsid w:val="004E232F"/>
    <w:rsid w:val="005043FB"/>
    <w:rsid w:val="00505E0A"/>
    <w:rsid w:val="005178A1"/>
    <w:rsid w:val="00517A64"/>
    <w:rsid w:val="0052455C"/>
    <w:rsid w:val="00524C36"/>
    <w:rsid w:val="00560379"/>
    <w:rsid w:val="0058224D"/>
    <w:rsid w:val="00582A23"/>
    <w:rsid w:val="005839A6"/>
    <w:rsid w:val="005948DF"/>
    <w:rsid w:val="00594B66"/>
    <w:rsid w:val="005A1CDB"/>
    <w:rsid w:val="005B0045"/>
    <w:rsid w:val="005D113A"/>
    <w:rsid w:val="005E0A7A"/>
    <w:rsid w:val="005E6EE7"/>
    <w:rsid w:val="0061470B"/>
    <w:rsid w:val="00616738"/>
    <w:rsid w:val="0063007C"/>
    <w:rsid w:val="006359F9"/>
    <w:rsid w:val="006368B3"/>
    <w:rsid w:val="006406DF"/>
    <w:rsid w:val="00655B37"/>
    <w:rsid w:val="00665FE8"/>
    <w:rsid w:val="0067508F"/>
    <w:rsid w:val="00683A0F"/>
    <w:rsid w:val="006A3700"/>
    <w:rsid w:val="006B67FC"/>
    <w:rsid w:val="006D7DB0"/>
    <w:rsid w:val="006F2100"/>
    <w:rsid w:val="00730088"/>
    <w:rsid w:val="007353A0"/>
    <w:rsid w:val="00737AB1"/>
    <w:rsid w:val="00750C0F"/>
    <w:rsid w:val="0079253B"/>
    <w:rsid w:val="007A2A6D"/>
    <w:rsid w:val="007C0DA7"/>
    <w:rsid w:val="007D3A62"/>
    <w:rsid w:val="007D54A1"/>
    <w:rsid w:val="007E0C83"/>
    <w:rsid w:val="007E4A13"/>
    <w:rsid w:val="007F6A8D"/>
    <w:rsid w:val="008009B4"/>
    <w:rsid w:val="0080260A"/>
    <w:rsid w:val="0082070A"/>
    <w:rsid w:val="008220C6"/>
    <w:rsid w:val="008338E7"/>
    <w:rsid w:val="00842C15"/>
    <w:rsid w:val="008435D3"/>
    <w:rsid w:val="00881569"/>
    <w:rsid w:val="008A00BE"/>
    <w:rsid w:val="008A20F9"/>
    <w:rsid w:val="008A68AA"/>
    <w:rsid w:val="008B36DC"/>
    <w:rsid w:val="008B5892"/>
    <w:rsid w:val="008B777C"/>
    <w:rsid w:val="008E2591"/>
    <w:rsid w:val="008E6D2A"/>
    <w:rsid w:val="008F601A"/>
    <w:rsid w:val="008F7875"/>
    <w:rsid w:val="00911316"/>
    <w:rsid w:val="00920E92"/>
    <w:rsid w:val="00924BB3"/>
    <w:rsid w:val="00932AE7"/>
    <w:rsid w:val="00945E2E"/>
    <w:rsid w:val="00960D39"/>
    <w:rsid w:val="00960DAA"/>
    <w:rsid w:val="00973192"/>
    <w:rsid w:val="00976B3F"/>
    <w:rsid w:val="00991740"/>
    <w:rsid w:val="009B029E"/>
    <w:rsid w:val="009B1999"/>
    <w:rsid w:val="009B69D9"/>
    <w:rsid w:val="009D653E"/>
    <w:rsid w:val="009D65D1"/>
    <w:rsid w:val="009D7B64"/>
    <w:rsid w:val="009D7BDC"/>
    <w:rsid w:val="009D7DF7"/>
    <w:rsid w:val="009E3B70"/>
    <w:rsid w:val="009E7612"/>
    <w:rsid w:val="009F3790"/>
    <w:rsid w:val="00A02CDA"/>
    <w:rsid w:val="00A03B44"/>
    <w:rsid w:val="00A21A98"/>
    <w:rsid w:val="00A27EC8"/>
    <w:rsid w:val="00A75A96"/>
    <w:rsid w:val="00A83ACB"/>
    <w:rsid w:val="00A84437"/>
    <w:rsid w:val="00A87349"/>
    <w:rsid w:val="00A94A04"/>
    <w:rsid w:val="00A9564E"/>
    <w:rsid w:val="00A961CD"/>
    <w:rsid w:val="00AB3193"/>
    <w:rsid w:val="00AB51FE"/>
    <w:rsid w:val="00AD10F3"/>
    <w:rsid w:val="00AD683B"/>
    <w:rsid w:val="00AE5C47"/>
    <w:rsid w:val="00AF48E9"/>
    <w:rsid w:val="00AF496D"/>
    <w:rsid w:val="00B21003"/>
    <w:rsid w:val="00B622FF"/>
    <w:rsid w:val="00B778F2"/>
    <w:rsid w:val="00B81758"/>
    <w:rsid w:val="00B92B34"/>
    <w:rsid w:val="00BA26EC"/>
    <w:rsid w:val="00BD752B"/>
    <w:rsid w:val="00BE6B22"/>
    <w:rsid w:val="00C04C5E"/>
    <w:rsid w:val="00C32D04"/>
    <w:rsid w:val="00C4066E"/>
    <w:rsid w:val="00C43918"/>
    <w:rsid w:val="00C54A7A"/>
    <w:rsid w:val="00C64F45"/>
    <w:rsid w:val="00C653DB"/>
    <w:rsid w:val="00C71E02"/>
    <w:rsid w:val="00C751BF"/>
    <w:rsid w:val="00C80835"/>
    <w:rsid w:val="00C8258D"/>
    <w:rsid w:val="00C93E34"/>
    <w:rsid w:val="00CC5721"/>
    <w:rsid w:val="00CC7EBC"/>
    <w:rsid w:val="00CD6241"/>
    <w:rsid w:val="00D104BE"/>
    <w:rsid w:val="00D13366"/>
    <w:rsid w:val="00D2175E"/>
    <w:rsid w:val="00D34EFC"/>
    <w:rsid w:val="00D4253F"/>
    <w:rsid w:val="00D46BE5"/>
    <w:rsid w:val="00D52088"/>
    <w:rsid w:val="00D61018"/>
    <w:rsid w:val="00D620F4"/>
    <w:rsid w:val="00D63DAE"/>
    <w:rsid w:val="00D6414F"/>
    <w:rsid w:val="00D66040"/>
    <w:rsid w:val="00DA19F5"/>
    <w:rsid w:val="00DB3A98"/>
    <w:rsid w:val="00DC26A1"/>
    <w:rsid w:val="00DC7953"/>
    <w:rsid w:val="00DD386F"/>
    <w:rsid w:val="00DD42BD"/>
    <w:rsid w:val="00DD4CF8"/>
    <w:rsid w:val="00DE22D9"/>
    <w:rsid w:val="00E01B44"/>
    <w:rsid w:val="00E05CC7"/>
    <w:rsid w:val="00E31675"/>
    <w:rsid w:val="00E33560"/>
    <w:rsid w:val="00E63630"/>
    <w:rsid w:val="00E70A64"/>
    <w:rsid w:val="00E73941"/>
    <w:rsid w:val="00E8677B"/>
    <w:rsid w:val="00E87288"/>
    <w:rsid w:val="00E926E5"/>
    <w:rsid w:val="00E95368"/>
    <w:rsid w:val="00EC353A"/>
    <w:rsid w:val="00EC55B5"/>
    <w:rsid w:val="00EC6423"/>
    <w:rsid w:val="00ED626E"/>
    <w:rsid w:val="00EE4E51"/>
    <w:rsid w:val="00EE76A6"/>
    <w:rsid w:val="00EF1CD0"/>
    <w:rsid w:val="00EF333C"/>
    <w:rsid w:val="00EF7264"/>
    <w:rsid w:val="00F01297"/>
    <w:rsid w:val="00F01E5E"/>
    <w:rsid w:val="00F10868"/>
    <w:rsid w:val="00F72001"/>
    <w:rsid w:val="00F9030E"/>
    <w:rsid w:val="00F94166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customStyle="1" w:styleId="Default">
    <w:name w:val="Default"/>
    <w:rsid w:val="005178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2025-03-20T14:24:00Z</dcterms:created>
  <dcterms:modified xsi:type="dcterms:W3CDTF">2025-03-21T09:56:00Z</dcterms:modified>
</cp:coreProperties>
</file>