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5B0E" w14:textId="77777777" w:rsidR="00505E0A" w:rsidRPr="00392A80" w:rsidRDefault="00505E0A" w:rsidP="007E4A13">
      <w:pPr>
        <w:jc w:val="both"/>
        <w:rPr>
          <w:rFonts w:ascii="Arial" w:hAnsi="Arial" w:cs="Arial"/>
          <w:b/>
          <w:bCs/>
        </w:rPr>
      </w:pPr>
    </w:p>
    <w:p w14:paraId="2AE43ED5" w14:textId="77777777" w:rsidR="007E4A13" w:rsidRPr="00392A80" w:rsidRDefault="007E4A13" w:rsidP="007E4A13">
      <w:pPr>
        <w:jc w:val="center"/>
        <w:rPr>
          <w:rFonts w:ascii="Arial" w:hAnsi="Arial" w:cs="Arial"/>
          <w:b/>
          <w:bCs/>
          <w:u w:val="single"/>
        </w:rPr>
      </w:pPr>
    </w:p>
    <w:p w14:paraId="373A494B" w14:textId="4A0F3310" w:rsidR="00842C15" w:rsidRDefault="00842C15" w:rsidP="004F0178">
      <w:pPr>
        <w:jc w:val="center"/>
        <w:rPr>
          <w:rFonts w:ascii="Arial" w:hAnsi="Arial" w:cs="Arial"/>
          <w:b/>
          <w:bCs/>
          <w:u w:val="single"/>
        </w:rPr>
      </w:pPr>
      <w:r w:rsidRPr="008279DE">
        <w:rPr>
          <w:rFonts w:ascii="Arial" w:hAnsi="Arial" w:cs="Arial"/>
          <w:b/>
          <w:bCs/>
          <w:u w:val="single"/>
        </w:rPr>
        <w:t>Comunicato stampa</w:t>
      </w:r>
    </w:p>
    <w:p w14:paraId="588F55AB" w14:textId="77777777" w:rsidR="00C1590F" w:rsidRDefault="00C1590F" w:rsidP="004F0178">
      <w:pPr>
        <w:jc w:val="center"/>
        <w:rPr>
          <w:rFonts w:ascii="Arial" w:hAnsi="Arial" w:cs="Arial"/>
          <w:b/>
          <w:bCs/>
          <w:u w:val="single"/>
        </w:rPr>
      </w:pPr>
    </w:p>
    <w:p w14:paraId="7A6CF67B" w14:textId="641731F6" w:rsidR="003562D5" w:rsidRPr="00C1590F" w:rsidRDefault="00C1590F" w:rsidP="00C1590F">
      <w:pPr>
        <w:jc w:val="center"/>
        <w:rPr>
          <w:rFonts w:ascii="Arial" w:hAnsi="Arial" w:cs="Arial"/>
          <w:b/>
          <w:bCs/>
        </w:rPr>
      </w:pPr>
      <w:r w:rsidRPr="00C1590F">
        <w:rPr>
          <w:rFonts w:ascii="Arial" w:hAnsi="Arial" w:cs="Arial"/>
          <w:b/>
          <w:bCs/>
        </w:rPr>
        <w:t>SOCIET</w:t>
      </w:r>
      <w:r w:rsidR="006B0B6F">
        <w:rPr>
          <w:rFonts w:ascii="Arial" w:hAnsi="Arial" w:cs="Arial"/>
          <w:b/>
          <w:bCs/>
        </w:rPr>
        <w:t xml:space="preserve">À </w:t>
      </w:r>
      <w:r w:rsidRPr="00C1590F">
        <w:rPr>
          <w:rFonts w:ascii="Arial" w:hAnsi="Arial" w:cs="Arial"/>
          <w:b/>
          <w:bCs/>
        </w:rPr>
        <w:t>DI CAPITALI: NEL 2024 FATTURATO GI</w:t>
      </w:r>
      <w:r w:rsidR="006B0B6F">
        <w:rPr>
          <w:rFonts w:ascii="Arial" w:hAnsi="Arial" w:cs="Arial"/>
          <w:b/>
          <w:bCs/>
        </w:rPr>
        <w:t>Ù</w:t>
      </w:r>
      <w:r w:rsidRPr="00C1590F">
        <w:rPr>
          <w:rFonts w:ascii="Arial" w:hAnsi="Arial" w:cs="Arial"/>
          <w:b/>
          <w:bCs/>
        </w:rPr>
        <w:t xml:space="preserve"> </w:t>
      </w:r>
      <w:r w:rsidR="003645DC">
        <w:rPr>
          <w:rFonts w:ascii="Arial" w:hAnsi="Arial" w:cs="Arial"/>
          <w:b/>
          <w:bCs/>
        </w:rPr>
        <w:t>DEL 2,9%</w:t>
      </w:r>
      <w:r w:rsidR="00FF584C">
        <w:rPr>
          <w:rFonts w:ascii="Arial" w:hAnsi="Arial" w:cs="Arial"/>
          <w:b/>
          <w:bCs/>
        </w:rPr>
        <w:t>,</w:t>
      </w:r>
      <w:r w:rsidR="003645DC">
        <w:rPr>
          <w:rFonts w:ascii="Arial" w:hAnsi="Arial" w:cs="Arial"/>
          <w:b/>
          <w:bCs/>
        </w:rPr>
        <w:t xml:space="preserve"> NEL 20</w:t>
      </w:r>
      <w:r w:rsidR="00FF584C">
        <w:rPr>
          <w:rFonts w:ascii="Arial" w:hAnsi="Arial" w:cs="Arial"/>
          <w:b/>
          <w:bCs/>
        </w:rPr>
        <w:t xml:space="preserve">25 </w:t>
      </w:r>
      <w:r w:rsidR="00F46328">
        <w:rPr>
          <w:rFonts w:ascii="Arial" w:hAnsi="Arial" w:cs="Arial"/>
          <w:b/>
          <w:bCs/>
        </w:rPr>
        <w:t xml:space="preserve">DELLO </w:t>
      </w:r>
      <w:r w:rsidR="00FF584C">
        <w:rPr>
          <w:rFonts w:ascii="Arial" w:hAnsi="Arial" w:cs="Arial"/>
          <w:b/>
          <w:bCs/>
        </w:rPr>
        <w:t>0,2%</w:t>
      </w:r>
    </w:p>
    <w:p w14:paraId="5F2F90A6" w14:textId="77777777" w:rsidR="003645DC" w:rsidRDefault="003645DC" w:rsidP="003562D5">
      <w:pPr>
        <w:jc w:val="center"/>
        <w:rPr>
          <w:rFonts w:ascii="Arial" w:hAnsi="Arial" w:cs="Arial"/>
          <w:b/>
          <w:bCs/>
        </w:rPr>
      </w:pPr>
    </w:p>
    <w:p w14:paraId="75CAE5C0" w14:textId="1F905852" w:rsidR="00C1590F" w:rsidRDefault="00C1590F" w:rsidP="00FF584C">
      <w:pPr>
        <w:jc w:val="center"/>
        <w:rPr>
          <w:rFonts w:ascii="Arial" w:hAnsi="Arial" w:cs="Arial"/>
          <w:b/>
          <w:bCs/>
        </w:rPr>
      </w:pPr>
      <w:r w:rsidRPr="003562D5">
        <w:rPr>
          <w:rFonts w:ascii="Arial" w:hAnsi="Arial" w:cs="Arial"/>
          <w:b/>
          <w:bCs/>
        </w:rPr>
        <w:t xml:space="preserve">Sono </w:t>
      </w:r>
      <w:r w:rsidR="003645DC">
        <w:rPr>
          <w:rFonts w:ascii="Arial" w:hAnsi="Arial" w:cs="Arial"/>
          <w:b/>
          <w:bCs/>
        </w:rPr>
        <w:t xml:space="preserve">le </w:t>
      </w:r>
      <w:r w:rsidR="003C73AA">
        <w:rPr>
          <w:rFonts w:ascii="Arial" w:hAnsi="Arial" w:cs="Arial"/>
          <w:b/>
          <w:bCs/>
        </w:rPr>
        <w:t>previsioni dei commercialisti</w:t>
      </w:r>
      <w:r w:rsidR="003645DC">
        <w:rPr>
          <w:rFonts w:ascii="Arial" w:hAnsi="Arial" w:cs="Arial"/>
          <w:b/>
          <w:bCs/>
        </w:rPr>
        <w:t xml:space="preserve"> contenute</w:t>
      </w:r>
      <w:r w:rsidRPr="003562D5">
        <w:rPr>
          <w:rFonts w:ascii="Arial" w:hAnsi="Arial" w:cs="Arial"/>
          <w:b/>
          <w:bCs/>
        </w:rPr>
        <w:t xml:space="preserve"> </w:t>
      </w:r>
      <w:r w:rsidR="003645DC">
        <w:rPr>
          <w:rFonts w:ascii="Arial" w:hAnsi="Arial" w:cs="Arial"/>
          <w:b/>
          <w:bCs/>
        </w:rPr>
        <w:t>ne</w:t>
      </w:r>
      <w:r w:rsidRPr="003562D5">
        <w:rPr>
          <w:rFonts w:ascii="Arial" w:hAnsi="Arial" w:cs="Arial"/>
          <w:b/>
          <w:bCs/>
        </w:rPr>
        <w:t xml:space="preserve">ll’Osservatorio della Fondazione nazionale </w:t>
      </w:r>
      <w:r w:rsidR="003C73AA">
        <w:rPr>
          <w:rFonts w:ascii="Arial" w:hAnsi="Arial" w:cs="Arial"/>
          <w:b/>
          <w:bCs/>
        </w:rPr>
        <w:t>della categoria</w:t>
      </w:r>
      <w:r w:rsidR="00BE4F64">
        <w:rPr>
          <w:rFonts w:ascii="Arial" w:hAnsi="Arial" w:cs="Arial"/>
          <w:b/>
          <w:bCs/>
        </w:rPr>
        <w:t xml:space="preserve"> che tengono conto degli effetti dell’</w:t>
      </w:r>
      <w:r w:rsidR="00FF584C">
        <w:rPr>
          <w:rFonts w:ascii="Arial" w:hAnsi="Arial" w:cs="Arial"/>
          <w:b/>
          <w:bCs/>
        </w:rPr>
        <w:t>i</w:t>
      </w:r>
      <w:r w:rsidR="00BE4F64">
        <w:rPr>
          <w:rFonts w:ascii="Arial" w:hAnsi="Arial" w:cs="Arial"/>
          <w:b/>
          <w:bCs/>
        </w:rPr>
        <w:t>nflazione</w:t>
      </w:r>
      <w:r w:rsidR="00FA7895">
        <w:rPr>
          <w:rFonts w:ascii="Arial" w:hAnsi="Arial" w:cs="Arial"/>
          <w:b/>
          <w:bCs/>
        </w:rPr>
        <w:t>. Soffr</w:t>
      </w:r>
      <w:r w:rsidR="002A4063">
        <w:rPr>
          <w:rFonts w:ascii="Arial" w:hAnsi="Arial" w:cs="Arial"/>
          <w:b/>
          <w:bCs/>
        </w:rPr>
        <w:t>o</w:t>
      </w:r>
      <w:r w:rsidR="00FA7895">
        <w:rPr>
          <w:rFonts w:ascii="Arial" w:hAnsi="Arial" w:cs="Arial"/>
          <w:b/>
          <w:bCs/>
        </w:rPr>
        <w:t>no soprattutto le piccole aziende</w:t>
      </w:r>
    </w:p>
    <w:p w14:paraId="34D857A8" w14:textId="77777777" w:rsidR="00BE4F64" w:rsidRPr="00C1590F" w:rsidRDefault="00BE4F64" w:rsidP="00BE4F64">
      <w:pPr>
        <w:jc w:val="center"/>
        <w:rPr>
          <w:rFonts w:ascii="Arial" w:hAnsi="Arial" w:cs="Arial"/>
        </w:rPr>
      </w:pPr>
    </w:p>
    <w:p w14:paraId="28C864BE" w14:textId="1556643D" w:rsidR="00C1590F" w:rsidRPr="00FA7895" w:rsidRDefault="00C1590F" w:rsidP="00C1590F">
      <w:pPr>
        <w:jc w:val="both"/>
        <w:rPr>
          <w:rFonts w:ascii="Arial" w:hAnsi="Arial" w:cs="Arial"/>
          <w:sz w:val="23"/>
          <w:szCs w:val="23"/>
        </w:rPr>
      </w:pPr>
      <w:r w:rsidRPr="00FA7895">
        <w:rPr>
          <w:rFonts w:ascii="Arial" w:hAnsi="Arial" w:cs="Arial"/>
          <w:i/>
          <w:iCs/>
          <w:sz w:val="23"/>
          <w:szCs w:val="23"/>
        </w:rPr>
        <w:t>Roma, 2</w:t>
      </w:r>
      <w:r w:rsidR="00A26135">
        <w:rPr>
          <w:rFonts w:ascii="Arial" w:hAnsi="Arial" w:cs="Arial"/>
          <w:i/>
          <w:iCs/>
          <w:sz w:val="23"/>
          <w:szCs w:val="23"/>
        </w:rPr>
        <w:t>9</w:t>
      </w:r>
      <w:r w:rsidRPr="00FA7895">
        <w:rPr>
          <w:rFonts w:ascii="Arial" w:hAnsi="Arial" w:cs="Arial"/>
          <w:i/>
          <w:iCs/>
          <w:sz w:val="23"/>
          <w:szCs w:val="23"/>
        </w:rPr>
        <w:t xml:space="preserve"> gennaio 2025 -</w:t>
      </w:r>
      <w:r w:rsidRPr="00FA7895">
        <w:rPr>
          <w:rFonts w:ascii="Arial" w:hAnsi="Arial" w:cs="Arial"/>
          <w:sz w:val="23"/>
          <w:szCs w:val="23"/>
        </w:rPr>
        <w:t xml:space="preserve"> </w:t>
      </w:r>
      <w:r w:rsidRPr="00C1590F">
        <w:rPr>
          <w:rFonts w:ascii="Arial" w:hAnsi="Arial" w:cs="Arial"/>
          <w:sz w:val="23"/>
          <w:szCs w:val="23"/>
        </w:rPr>
        <w:t xml:space="preserve">I Bilanci delle società di capitali italiane continuano a far registrare un </w:t>
      </w:r>
      <w:r w:rsidRPr="00C1590F">
        <w:rPr>
          <w:rFonts w:ascii="Arial" w:hAnsi="Arial" w:cs="Arial"/>
          <w:b/>
          <w:bCs/>
          <w:sz w:val="23"/>
          <w:szCs w:val="23"/>
        </w:rPr>
        <w:t>andamento negativo del fatturato</w:t>
      </w:r>
      <w:r w:rsidRPr="00C1590F">
        <w:rPr>
          <w:rFonts w:ascii="Arial" w:hAnsi="Arial" w:cs="Arial"/>
          <w:sz w:val="23"/>
          <w:szCs w:val="23"/>
        </w:rPr>
        <w:t xml:space="preserve"> che risente del rallentamento congiunturale in atto. Dopo la crescita a doppia cifra del biennio </w:t>
      </w:r>
      <w:r w:rsidRPr="00FA7895">
        <w:rPr>
          <w:rFonts w:ascii="Arial" w:hAnsi="Arial" w:cs="Arial"/>
          <w:sz w:val="23"/>
          <w:szCs w:val="23"/>
        </w:rPr>
        <w:t>post-Covid</w:t>
      </w:r>
      <w:r w:rsidR="00FF584C" w:rsidRPr="00FA7895">
        <w:rPr>
          <w:rFonts w:ascii="Arial" w:hAnsi="Arial" w:cs="Arial"/>
          <w:sz w:val="23"/>
          <w:szCs w:val="23"/>
        </w:rPr>
        <w:t xml:space="preserve"> (2021-2022)</w:t>
      </w:r>
      <w:r w:rsidRPr="00C1590F">
        <w:rPr>
          <w:rFonts w:ascii="Arial" w:hAnsi="Arial" w:cs="Arial"/>
          <w:sz w:val="23"/>
          <w:szCs w:val="23"/>
        </w:rPr>
        <w:t xml:space="preserve">, nel </w:t>
      </w:r>
      <w:r w:rsidRPr="00C1590F">
        <w:rPr>
          <w:rFonts w:ascii="Arial" w:hAnsi="Arial" w:cs="Arial"/>
          <w:b/>
          <w:bCs/>
          <w:sz w:val="23"/>
          <w:szCs w:val="23"/>
        </w:rPr>
        <w:t>2023</w:t>
      </w:r>
      <w:r w:rsidR="00FA7895" w:rsidRPr="00FA7895">
        <w:rPr>
          <w:rFonts w:ascii="Arial" w:hAnsi="Arial" w:cs="Arial"/>
          <w:sz w:val="23"/>
          <w:szCs w:val="23"/>
        </w:rPr>
        <w:t xml:space="preserve"> </w:t>
      </w:r>
      <w:r w:rsidRPr="00C1590F">
        <w:rPr>
          <w:rFonts w:ascii="Arial" w:hAnsi="Arial" w:cs="Arial"/>
          <w:sz w:val="23"/>
          <w:szCs w:val="23"/>
        </w:rPr>
        <w:t xml:space="preserve">il fatturato delle società di capitali italiane è diminuito, facendo registrare un calo in termini reali </w:t>
      </w:r>
      <w:r w:rsidR="00CD6811">
        <w:rPr>
          <w:rFonts w:ascii="Arial" w:hAnsi="Arial" w:cs="Arial"/>
          <w:sz w:val="23"/>
          <w:szCs w:val="23"/>
        </w:rPr>
        <w:t>del</w:t>
      </w:r>
      <w:r w:rsidR="00CD6811" w:rsidRPr="00CD6811">
        <w:rPr>
          <w:rFonts w:ascii="Arial" w:hAnsi="Arial" w:cs="Arial"/>
          <w:b/>
          <w:bCs/>
          <w:sz w:val="23"/>
          <w:szCs w:val="23"/>
        </w:rPr>
        <w:t xml:space="preserve"> 4,9%</w:t>
      </w:r>
      <w:r w:rsidR="003C73AA">
        <w:rPr>
          <w:rFonts w:ascii="Arial" w:hAnsi="Arial" w:cs="Arial"/>
          <w:b/>
          <w:bCs/>
          <w:sz w:val="23"/>
          <w:szCs w:val="23"/>
        </w:rPr>
        <w:t xml:space="preserve"> </w:t>
      </w:r>
      <w:r w:rsidR="00FA7895">
        <w:rPr>
          <w:rFonts w:ascii="Arial" w:hAnsi="Arial" w:cs="Arial"/>
          <w:sz w:val="23"/>
          <w:szCs w:val="23"/>
        </w:rPr>
        <w:t>(</w:t>
      </w:r>
      <w:r w:rsidR="00FA7895" w:rsidRPr="00CD6811">
        <w:rPr>
          <w:rFonts w:ascii="Arial" w:hAnsi="Arial" w:cs="Arial"/>
          <w:b/>
          <w:bCs/>
          <w:sz w:val="23"/>
          <w:szCs w:val="23"/>
        </w:rPr>
        <w:t>3,9% in termini nominali</w:t>
      </w:r>
      <w:r w:rsidR="00FA7895">
        <w:rPr>
          <w:rFonts w:ascii="Arial" w:hAnsi="Arial" w:cs="Arial"/>
          <w:sz w:val="23"/>
          <w:szCs w:val="23"/>
        </w:rPr>
        <w:t>).</w:t>
      </w:r>
      <w:r w:rsidR="003C73AA">
        <w:rPr>
          <w:rFonts w:ascii="Arial" w:hAnsi="Arial" w:cs="Arial"/>
          <w:sz w:val="23"/>
          <w:szCs w:val="23"/>
        </w:rPr>
        <w:t xml:space="preserve"> </w:t>
      </w:r>
      <w:r w:rsidRPr="00FA7895">
        <w:rPr>
          <w:rFonts w:ascii="Arial" w:hAnsi="Arial" w:cs="Arial"/>
          <w:sz w:val="23"/>
          <w:szCs w:val="23"/>
        </w:rPr>
        <w:t>La tendenza congiunturale</w:t>
      </w:r>
      <w:r w:rsidR="003645DC" w:rsidRPr="00FA7895">
        <w:rPr>
          <w:rFonts w:ascii="Arial" w:hAnsi="Arial" w:cs="Arial"/>
          <w:sz w:val="23"/>
          <w:szCs w:val="23"/>
        </w:rPr>
        <w:t xml:space="preserve"> per i</w:t>
      </w:r>
      <w:r w:rsidR="003645DC" w:rsidRPr="00FA7895">
        <w:rPr>
          <w:rFonts w:ascii="Arial" w:hAnsi="Arial" w:cs="Arial"/>
          <w:b/>
          <w:bCs/>
          <w:sz w:val="23"/>
          <w:szCs w:val="23"/>
        </w:rPr>
        <w:t>l 2024</w:t>
      </w:r>
      <w:r w:rsidRPr="00C1590F">
        <w:rPr>
          <w:rFonts w:ascii="Arial" w:hAnsi="Arial" w:cs="Arial"/>
          <w:sz w:val="23"/>
          <w:szCs w:val="23"/>
        </w:rPr>
        <w:t xml:space="preserve"> indica </w:t>
      </w:r>
      <w:r w:rsidRPr="00FA7895">
        <w:rPr>
          <w:rFonts w:ascii="Arial" w:hAnsi="Arial" w:cs="Arial"/>
          <w:sz w:val="23"/>
          <w:szCs w:val="23"/>
        </w:rPr>
        <w:t>un ulteriore calo</w:t>
      </w:r>
      <w:r w:rsidRPr="00C1590F">
        <w:rPr>
          <w:rFonts w:ascii="Arial" w:hAnsi="Arial" w:cs="Arial"/>
          <w:sz w:val="23"/>
          <w:szCs w:val="23"/>
        </w:rPr>
        <w:t xml:space="preserve"> del fatturato</w:t>
      </w:r>
      <w:r w:rsidR="003645DC" w:rsidRPr="00FA7895">
        <w:rPr>
          <w:rFonts w:ascii="Arial" w:hAnsi="Arial" w:cs="Arial"/>
          <w:sz w:val="23"/>
          <w:szCs w:val="23"/>
        </w:rPr>
        <w:t>,</w:t>
      </w:r>
      <w:r w:rsidRPr="00C1590F">
        <w:rPr>
          <w:rFonts w:ascii="Arial" w:hAnsi="Arial" w:cs="Arial"/>
          <w:sz w:val="23"/>
          <w:szCs w:val="23"/>
        </w:rPr>
        <w:t xml:space="preserve"> anche se più contenuto</w:t>
      </w:r>
      <w:r w:rsidR="003645DC" w:rsidRPr="00FA7895">
        <w:rPr>
          <w:rFonts w:ascii="Arial" w:hAnsi="Arial" w:cs="Arial"/>
          <w:sz w:val="23"/>
          <w:szCs w:val="23"/>
        </w:rPr>
        <w:t>,</w:t>
      </w:r>
      <w:r w:rsidRPr="00C1590F">
        <w:rPr>
          <w:rFonts w:ascii="Arial" w:hAnsi="Arial" w:cs="Arial"/>
          <w:sz w:val="23"/>
          <w:szCs w:val="23"/>
        </w:rPr>
        <w:t xml:space="preserve"> pari </w:t>
      </w:r>
      <w:r w:rsidR="00FA7895" w:rsidRPr="00FA7895">
        <w:rPr>
          <w:rFonts w:ascii="Arial" w:hAnsi="Arial" w:cs="Arial"/>
          <w:sz w:val="23"/>
          <w:szCs w:val="23"/>
        </w:rPr>
        <w:t>al</w:t>
      </w:r>
      <w:r w:rsidR="00FA7895" w:rsidRPr="00FA7895">
        <w:rPr>
          <w:rFonts w:ascii="Arial" w:hAnsi="Arial" w:cs="Arial"/>
          <w:b/>
          <w:bCs/>
          <w:sz w:val="23"/>
          <w:szCs w:val="23"/>
        </w:rPr>
        <w:t xml:space="preserve"> </w:t>
      </w:r>
      <w:r w:rsidR="003645DC" w:rsidRPr="00FA7895">
        <w:rPr>
          <w:rFonts w:ascii="Arial" w:hAnsi="Arial" w:cs="Arial"/>
          <w:b/>
          <w:bCs/>
          <w:sz w:val="23"/>
          <w:szCs w:val="23"/>
        </w:rPr>
        <w:t>-</w:t>
      </w:r>
      <w:r w:rsidRPr="00C1590F">
        <w:rPr>
          <w:rFonts w:ascii="Arial" w:hAnsi="Arial" w:cs="Arial"/>
          <w:b/>
          <w:bCs/>
          <w:sz w:val="23"/>
          <w:szCs w:val="23"/>
        </w:rPr>
        <w:t>1,5%</w:t>
      </w:r>
      <w:r w:rsidRPr="00C1590F">
        <w:rPr>
          <w:rFonts w:ascii="Arial" w:hAnsi="Arial" w:cs="Arial"/>
          <w:sz w:val="23"/>
          <w:szCs w:val="23"/>
        </w:rPr>
        <w:t xml:space="preserve"> in termini nominali</w:t>
      </w:r>
      <w:r w:rsidR="00FA7895" w:rsidRPr="00FA7895">
        <w:rPr>
          <w:rFonts w:ascii="Arial" w:hAnsi="Arial" w:cs="Arial"/>
          <w:sz w:val="23"/>
          <w:szCs w:val="23"/>
        </w:rPr>
        <w:t xml:space="preserve"> </w:t>
      </w:r>
      <w:r w:rsidRPr="00C1590F">
        <w:rPr>
          <w:rFonts w:ascii="Arial" w:hAnsi="Arial" w:cs="Arial"/>
          <w:sz w:val="23"/>
          <w:szCs w:val="23"/>
        </w:rPr>
        <w:t xml:space="preserve">che si traduce in </w:t>
      </w:r>
      <w:r w:rsidRPr="00C1590F">
        <w:rPr>
          <w:rFonts w:ascii="Arial" w:hAnsi="Arial" w:cs="Arial"/>
          <w:b/>
          <w:bCs/>
          <w:sz w:val="23"/>
          <w:szCs w:val="23"/>
        </w:rPr>
        <w:t>-2,9% in termini reali</w:t>
      </w:r>
      <w:r w:rsidR="00CD6811">
        <w:rPr>
          <w:rFonts w:ascii="Arial" w:hAnsi="Arial" w:cs="Arial"/>
          <w:b/>
          <w:bCs/>
          <w:sz w:val="23"/>
          <w:szCs w:val="23"/>
        </w:rPr>
        <w:t xml:space="preserve">, </w:t>
      </w:r>
      <w:r w:rsidR="00CD6811" w:rsidRPr="00FA7895">
        <w:rPr>
          <w:rFonts w:ascii="Arial" w:hAnsi="Arial" w:cs="Arial"/>
          <w:b/>
          <w:bCs/>
          <w:sz w:val="23"/>
          <w:szCs w:val="23"/>
        </w:rPr>
        <w:t>ossia tenendo conto dell’inflazione</w:t>
      </w:r>
      <w:r w:rsidRPr="00C1590F">
        <w:rPr>
          <w:rFonts w:ascii="Arial" w:hAnsi="Arial" w:cs="Arial"/>
          <w:b/>
          <w:bCs/>
          <w:sz w:val="23"/>
          <w:szCs w:val="23"/>
        </w:rPr>
        <w:t>.</w:t>
      </w:r>
      <w:r w:rsidRPr="00C1590F">
        <w:rPr>
          <w:rFonts w:ascii="Arial" w:hAnsi="Arial" w:cs="Arial"/>
          <w:sz w:val="23"/>
          <w:szCs w:val="23"/>
        </w:rPr>
        <w:t xml:space="preserve"> Le previsioni per </w:t>
      </w:r>
      <w:r w:rsidR="003645DC" w:rsidRPr="00FA7895">
        <w:rPr>
          <w:rFonts w:ascii="Arial" w:hAnsi="Arial" w:cs="Arial"/>
          <w:sz w:val="23"/>
          <w:szCs w:val="23"/>
        </w:rPr>
        <w:t xml:space="preserve">il </w:t>
      </w:r>
      <w:r w:rsidR="003645DC" w:rsidRPr="00FA7895">
        <w:rPr>
          <w:rFonts w:ascii="Arial" w:hAnsi="Arial" w:cs="Arial"/>
          <w:b/>
          <w:bCs/>
          <w:sz w:val="23"/>
          <w:szCs w:val="23"/>
        </w:rPr>
        <w:t>2025</w:t>
      </w:r>
      <w:r w:rsidRPr="00C1590F">
        <w:rPr>
          <w:rFonts w:ascii="Arial" w:hAnsi="Arial" w:cs="Arial"/>
          <w:sz w:val="23"/>
          <w:szCs w:val="23"/>
        </w:rPr>
        <w:t xml:space="preserve"> sono di </w:t>
      </w:r>
      <w:r w:rsidRPr="00C1590F">
        <w:rPr>
          <w:rFonts w:ascii="Arial" w:hAnsi="Arial" w:cs="Arial"/>
          <w:b/>
          <w:bCs/>
          <w:sz w:val="23"/>
          <w:szCs w:val="23"/>
        </w:rPr>
        <w:t>una ripresa pari a +1,8%</w:t>
      </w:r>
      <w:r w:rsidRPr="00C1590F">
        <w:rPr>
          <w:rFonts w:ascii="Arial" w:hAnsi="Arial" w:cs="Arial"/>
          <w:sz w:val="23"/>
          <w:szCs w:val="23"/>
        </w:rPr>
        <w:t xml:space="preserve"> </w:t>
      </w:r>
      <w:r w:rsidR="00BE4F64" w:rsidRPr="00FA7895">
        <w:rPr>
          <w:rFonts w:ascii="Arial" w:hAnsi="Arial" w:cs="Arial"/>
          <w:sz w:val="23"/>
          <w:szCs w:val="23"/>
        </w:rPr>
        <w:t xml:space="preserve">in termini nominali </w:t>
      </w:r>
      <w:r w:rsidRPr="00C1590F">
        <w:rPr>
          <w:rFonts w:ascii="Arial" w:hAnsi="Arial" w:cs="Arial"/>
          <w:sz w:val="23"/>
          <w:szCs w:val="23"/>
        </w:rPr>
        <w:t xml:space="preserve">che si tradurrebbe in una </w:t>
      </w:r>
      <w:r w:rsidRPr="00C1590F">
        <w:rPr>
          <w:rFonts w:ascii="Arial" w:hAnsi="Arial" w:cs="Arial"/>
          <w:b/>
          <w:bCs/>
          <w:sz w:val="23"/>
          <w:szCs w:val="23"/>
        </w:rPr>
        <w:t>decrescita in termini reali del</w:t>
      </w:r>
      <w:r w:rsidR="00F46328">
        <w:rPr>
          <w:rFonts w:ascii="Arial" w:hAnsi="Arial" w:cs="Arial"/>
          <w:b/>
          <w:bCs/>
          <w:sz w:val="23"/>
          <w:szCs w:val="23"/>
        </w:rPr>
        <w:t>lo</w:t>
      </w:r>
      <w:r w:rsidR="003645DC" w:rsidRPr="00FA7895">
        <w:rPr>
          <w:rFonts w:ascii="Arial" w:hAnsi="Arial" w:cs="Arial"/>
          <w:b/>
          <w:bCs/>
          <w:sz w:val="23"/>
          <w:szCs w:val="23"/>
        </w:rPr>
        <w:t xml:space="preserve"> </w:t>
      </w:r>
      <w:r w:rsidRPr="00C1590F">
        <w:rPr>
          <w:rFonts w:ascii="Arial" w:hAnsi="Arial" w:cs="Arial"/>
          <w:b/>
          <w:bCs/>
          <w:sz w:val="23"/>
          <w:szCs w:val="23"/>
        </w:rPr>
        <w:t>0,2%.</w:t>
      </w:r>
      <w:r w:rsidRPr="00C1590F">
        <w:rPr>
          <w:rFonts w:ascii="Arial" w:hAnsi="Arial" w:cs="Arial"/>
          <w:sz w:val="23"/>
          <w:szCs w:val="23"/>
        </w:rPr>
        <w:t> </w:t>
      </w:r>
      <w:r w:rsidRPr="00FA7895">
        <w:rPr>
          <w:rFonts w:ascii="Arial" w:hAnsi="Arial" w:cs="Arial"/>
          <w:sz w:val="23"/>
          <w:szCs w:val="23"/>
        </w:rPr>
        <w:t xml:space="preserve">Sono </w:t>
      </w:r>
      <w:r w:rsidR="00A26135">
        <w:rPr>
          <w:rFonts w:ascii="Arial" w:hAnsi="Arial" w:cs="Arial"/>
          <w:sz w:val="23"/>
          <w:szCs w:val="23"/>
        </w:rPr>
        <w:t xml:space="preserve">le previsioni </w:t>
      </w:r>
      <w:r w:rsidR="00F46328">
        <w:rPr>
          <w:rFonts w:ascii="Arial" w:hAnsi="Arial" w:cs="Arial"/>
          <w:sz w:val="23"/>
          <w:szCs w:val="23"/>
        </w:rPr>
        <w:t>presenti</w:t>
      </w:r>
      <w:r w:rsidRPr="00FA7895">
        <w:rPr>
          <w:rFonts w:ascii="Arial" w:hAnsi="Arial" w:cs="Arial"/>
          <w:sz w:val="23"/>
          <w:szCs w:val="23"/>
        </w:rPr>
        <w:t xml:space="preserve"> </w:t>
      </w:r>
      <w:r w:rsidR="00A26135">
        <w:rPr>
          <w:rFonts w:ascii="Arial" w:hAnsi="Arial" w:cs="Arial"/>
          <w:sz w:val="23"/>
          <w:szCs w:val="23"/>
        </w:rPr>
        <w:t>ne</w:t>
      </w:r>
      <w:r w:rsidRPr="00FA7895">
        <w:rPr>
          <w:rFonts w:ascii="Arial" w:hAnsi="Arial" w:cs="Arial"/>
          <w:sz w:val="23"/>
          <w:szCs w:val="23"/>
        </w:rPr>
        <w:t xml:space="preserve">ll’Osservatorio sulle società di capitali realizzato dalla </w:t>
      </w:r>
      <w:r w:rsidRPr="00FA7895">
        <w:rPr>
          <w:rFonts w:ascii="Arial" w:hAnsi="Arial" w:cs="Arial"/>
          <w:b/>
          <w:bCs/>
          <w:sz w:val="23"/>
          <w:szCs w:val="23"/>
        </w:rPr>
        <w:t>Fondazione nazionale dei commercialisti</w:t>
      </w:r>
      <w:r w:rsidR="00FF584C" w:rsidRPr="00FA7895">
        <w:rPr>
          <w:rFonts w:ascii="Arial" w:hAnsi="Arial" w:cs="Arial"/>
          <w:b/>
          <w:bCs/>
          <w:sz w:val="23"/>
          <w:szCs w:val="23"/>
        </w:rPr>
        <w:t>, conten</w:t>
      </w:r>
      <w:r w:rsidR="00F46328">
        <w:rPr>
          <w:rFonts w:ascii="Arial" w:hAnsi="Arial" w:cs="Arial"/>
          <w:b/>
          <w:bCs/>
          <w:sz w:val="23"/>
          <w:szCs w:val="23"/>
        </w:rPr>
        <w:t>en</w:t>
      </w:r>
      <w:r w:rsidR="00FF584C" w:rsidRPr="00FA7895">
        <w:rPr>
          <w:rFonts w:ascii="Arial" w:hAnsi="Arial" w:cs="Arial"/>
          <w:b/>
          <w:bCs/>
          <w:sz w:val="23"/>
          <w:szCs w:val="23"/>
        </w:rPr>
        <w:t>te le stime di fatturato per il 2024-2025 e i dati relativi ai Bilanci del 2023</w:t>
      </w:r>
      <w:r w:rsidRPr="00FA7895">
        <w:rPr>
          <w:rFonts w:ascii="Arial" w:hAnsi="Arial" w:cs="Arial"/>
          <w:sz w:val="23"/>
          <w:szCs w:val="23"/>
        </w:rPr>
        <w:t xml:space="preserve">. </w:t>
      </w:r>
    </w:p>
    <w:p w14:paraId="246575EB" w14:textId="77777777" w:rsidR="00C1590F" w:rsidRPr="00C1590F" w:rsidRDefault="00C1590F" w:rsidP="00C1590F">
      <w:pPr>
        <w:jc w:val="both"/>
        <w:rPr>
          <w:rFonts w:ascii="Arial" w:hAnsi="Arial" w:cs="Arial"/>
          <w:sz w:val="23"/>
          <w:szCs w:val="23"/>
        </w:rPr>
      </w:pPr>
    </w:p>
    <w:p w14:paraId="2ACD9927" w14:textId="7AA290A7" w:rsidR="00C1590F" w:rsidRPr="00FA7895" w:rsidRDefault="00C1590F" w:rsidP="00C1590F">
      <w:pPr>
        <w:jc w:val="both"/>
        <w:rPr>
          <w:rFonts w:ascii="Arial" w:hAnsi="Arial" w:cs="Arial"/>
          <w:sz w:val="23"/>
          <w:szCs w:val="23"/>
        </w:rPr>
      </w:pPr>
      <w:r w:rsidRPr="00C1590F">
        <w:rPr>
          <w:rFonts w:ascii="Arial" w:hAnsi="Arial" w:cs="Arial"/>
          <w:sz w:val="23"/>
          <w:szCs w:val="23"/>
        </w:rPr>
        <w:t>Tale tendenza</w:t>
      </w:r>
      <w:r w:rsidR="003562D5" w:rsidRPr="00FA7895">
        <w:rPr>
          <w:rFonts w:ascii="Arial" w:hAnsi="Arial" w:cs="Arial"/>
          <w:sz w:val="23"/>
          <w:szCs w:val="23"/>
        </w:rPr>
        <w:t xml:space="preserve"> </w:t>
      </w:r>
      <w:r w:rsidRPr="00C1590F">
        <w:rPr>
          <w:rFonts w:ascii="Arial" w:hAnsi="Arial" w:cs="Arial"/>
          <w:sz w:val="23"/>
          <w:szCs w:val="23"/>
        </w:rPr>
        <w:t xml:space="preserve">indica che le potenziali </w:t>
      </w:r>
      <w:r w:rsidRPr="00C1590F">
        <w:rPr>
          <w:rFonts w:ascii="Arial" w:hAnsi="Arial" w:cs="Arial"/>
          <w:b/>
          <w:bCs/>
          <w:sz w:val="23"/>
          <w:szCs w:val="23"/>
        </w:rPr>
        <w:t>aree di crisi</w:t>
      </w:r>
      <w:r w:rsidRPr="00C1590F">
        <w:rPr>
          <w:rFonts w:ascii="Arial" w:hAnsi="Arial" w:cs="Arial"/>
          <w:sz w:val="23"/>
          <w:szCs w:val="23"/>
        </w:rPr>
        <w:t xml:space="preserve"> </w:t>
      </w:r>
      <w:r w:rsidRPr="00C1590F">
        <w:rPr>
          <w:rFonts w:ascii="Arial" w:hAnsi="Arial" w:cs="Arial"/>
          <w:b/>
          <w:bCs/>
          <w:sz w:val="23"/>
          <w:szCs w:val="23"/>
        </w:rPr>
        <w:t>tendono ad allargarsi</w:t>
      </w:r>
      <w:r w:rsidRPr="00C1590F">
        <w:rPr>
          <w:rFonts w:ascii="Arial" w:hAnsi="Arial" w:cs="Arial"/>
          <w:sz w:val="23"/>
          <w:szCs w:val="23"/>
        </w:rPr>
        <w:t xml:space="preserve"> e interessano soprattutto le </w:t>
      </w:r>
      <w:r w:rsidRPr="00C1590F">
        <w:rPr>
          <w:rFonts w:ascii="Arial" w:hAnsi="Arial" w:cs="Arial"/>
          <w:b/>
          <w:bCs/>
          <w:sz w:val="23"/>
          <w:szCs w:val="23"/>
        </w:rPr>
        <w:t>piccole aziende</w:t>
      </w:r>
      <w:r w:rsidRPr="00C1590F">
        <w:rPr>
          <w:rFonts w:ascii="Arial" w:hAnsi="Arial" w:cs="Arial"/>
          <w:sz w:val="23"/>
          <w:szCs w:val="23"/>
        </w:rPr>
        <w:t>, quelle cioè che soffrono maggiormente l'</w:t>
      </w:r>
      <w:r w:rsidRPr="00C1590F">
        <w:rPr>
          <w:rFonts w:ascii="Arial" w:hAnsi="Arial" w:cs="Arial"/>
          <w:b/>
          <w:bCs/>
          <w:sz w:val="23"/>
          <w:szCs w:val="23"/>
        </w:rPr>
        <w:t>accesso al credito bancario</w:t>
      </w:r>
      <w:r w:rsidRPr="00C1590F">
        <w:rPr>
          <w:rFonts w:ascii="Arial" w:hAnsi="Arial" w:cs="Arial"/>
          <w:sz w:val="23"/>
          <w:szCs w:val="23"/>
        </w:rPr>
        <w:t xml:space="preserve"> e che sono praticamente escluse dal </w:t>
      </w:r>
      <w:r w:rsidRPr="00C1590F">
        <w:rPr>
          <w:rFonts w:ascii="Arial" w:hAnsi="Arial" w:cs="Arial"/>
          <w:b/>
          <w:bCs/>
          <w:sz w:val="23"/>
          <w:szCs w:val="23"/>
        </w:rPr>
        <w:t>mercato dei capitali</w:t>
      </w:r>
      <w:r w:rsidRPr="00C1590F">
        <w:rPr>
          <w:rFonts w:ascii="Arial" w:hAnsi="Arial" w:cs="Arial"/>
          <w:sz w:val="23"/>
          <w:szCs w:val="23"/>
        </w:rPr>
        <w:t xml:space="preserve">. </w:t>
      </w:r>
      <w:r w:rsidRPr="00FA7895">
        <w:rPr>
          <w:rFonts w:ascii="Arial" w:hAnsi="Arial" w:cs="Arial"/>
          <w:sz w:val="23"/>
          <w:szCs w:val="23"/>
        </w:rPr>
        <w:t>Una tendenza, questa, alla cui base ci sono alcuni</w:t>
      </w:r>
      <w:r w:rsidRPr="00C1590F">
        <w:rPr>
          <w:rFonts w:ascii="Arial" w:hAnsi="Arial" w:cs="Arial"/>
          <w:sz w:val="23"/>
          <w:szCs w:val="23"/>
        </w:rPr>
        <w:t xml:space="preserve"> indicatori particolarmente sensibili. </w:t>
      </w:r>
      <w:r w:rsidRPr="00FA7895">
        <w:rPr>
          <w:rFonts w:ascii="Arial" w:hAnsi="Arial" w:cs="Arial"/>
          <w:sz w:val="23"/>
          <w:szCs w:val="23"/>
        </w:rPr>
        <w:t>Secondo i commercialisti, l</w:t>
      </w:r>
      <w:r w:rsidRPr="00C1590F">
        <w:rPr>
          <w:rFonts w:ascii="Arial" w:hAnsi="Arial" w:cs="Arial"/>
          <w:sz w:val="23"/>
          <w:szCs w:val="23"/>
        </w:rPr>
        <w:t xml:space="preserve">'incidenza degli </w:t>
      </w:r>
      <w:r w:rsidRPr="00C1590F">
        <w:rPr>
          <w:rFonts w:ascii="Arial" w:hAnsi="Arial" w:cs="Arial"/>
          <w:b/>
          <w:bCs/>
          <w:sz w:val="23"/>
          <w:szCs w:val="23"/>
        </w:rPr>
        <w:t>oneri finanziari</w:t>
      </w:r>
      <w:r w:rsidRPr="00C1590F">
        <w:rPr>
          <w:rFonts w:ascii="Arial" w:hAnsi="Arial" w:cs="Arial"/>
          <w:sz w:val="23"/>
          <w:szCs w:val="23"/>
        </w:rPr>
        <w:t xml:space="preserve"> sul fatturato comincia a salire in maniera pericolosa per alcuni segmenti imprenditoriali, mentre il peso dei </w:t>
      </w:r>
      <w:r w:rsidRPr="00C1590F">
        <w:rPr>
          <w:rFonts w:ascii="Arial" w:hAnsi="Arial" w:cs="Arial"/>
          <w:b/>
          <w:bCs/>
          <w:sz w:val="23"/>
          <w:szCs w:val="23"/>
        </w:rPr>
        <w:t>debiti tributari e previdenziali</w:t>
      </w:r>
      <w:r w:rsidRPr="00C1590F">
        <w:rPr>
          <w:rFonts w:ascii="Arial" w:hAnsi="Arial" w:cs="Arial"/>
          <w:sz w:val="23"/>
          <w:szCs w:val="23"/>
        </w:rPr>
        <w:t xml:space="preserve">, che nel complesso resta stabile, sale in maniera improvvisa tra le piccole imprese, in particolare quelle con un </w:t>
      </w:r>
      <w:r w:rsidRPr="00C1590F">
        <w:rPr>
          <w:rFonts w:ascii="Arial" w:hAnsi="Arial" w:cs="Arial"/>
          <w:b/>
          <w:bCs/>
          <w:sz w:val="23"/>
          <w:szCs w:val="23"/>
        </w:rPr>
        <w:t>fatturato tra 1 e 5 milioni di euro</w:t>
      </w:r>
      <w:r w:rsidRPr="00C1590F">
        <w:rPr>
          <w:rFonts w:ascii="Arial" w:hAnsi="Arial" w:cs="Arial"/>
          <w:sz w:val="23"/>
          <w:szCs w:val="23"/>
        </w:rPr>
        <w:t xml:space="preserve"> che contano circa </w:t>
      </w:r>
      <w:r w:rsidRPr="00C1590F">
        <w:rPr>
          <w:rFonts w:ascii="Arial" w:hAnsi="Arial" w:cs="Arial"/>
          <w:b/>
          <w:bCs/>
          <w:sz w:val="23"/>
          <w:szCs w:val="23"/>
        </w:rPr>
        <w:t>160 mila società</w:t>
      </w:r>
      <w:r w:rsidRPr="00C1590F">
        <w:rPr>
          <w:rFonts w:ascii="Arial" w:hAnsi="Arial" w:cs="Arial"/>
          <w:sz w:val="23"/>
          <w:szCs w:val="23"/>
        </w:rPr>
        <w:t xml:space="preserve">, </w:t>
      </w:r>
      <w:r w:rsidRPr="00C1590F">
        <w:rPr>
          <w:rFonts w:ascii="Arial" w:hAnsi="Arial" w:cs="Arial"/>
          <w:b/>
          <w:bCs/>
          <w:sz w:val="23"/>
          <w:szCs w:val="23"/>
        </w:rPr>
        <w:t>1,5 milioni di dipendenti e 350 milioni di fatturato</w:t>
      </w:r>
      <w:r w:rsidRPr="00C1590F">
        <w:rPr>
          <w:rFonts w:ascii="Arial" w:hAnsi="Arial" w:cs="Arial"/>
          <w:sz w:val="23"/>
          <w:szCs w:val="23"/>
        </w:rPr>
        <w:t>. </w:t>
      </w:r>
    </w:p>
    <w:p w14:paraId="65D8F00C" w14:textId="77777777" w:rsidR="00BE4F64" w:rsidRPr="00FA7895" w:rsidRDefault="00BE4F64" w:rsidP="00C1590F">
      <w:pPr>
        <w:jc w:val="both"/>
        <w:rPr>
          <w:rFonts w:ascii="Arial" w:hAnsi="Arial" w:cs="Arial"/>
          <w:sz w:val="23"/>
          <w:szCs w:val="23"/>
        </w:rPr>
      </w:pPr>
    </w:p>
    <w:p w14:paraId="71916D4A" w14:textId="45265C1D" w:rsidR="00FF584C" w:rsidRPr="00C1590F" w:rsidRDefault="00FF584C" w:rsidP="00C1590F">
      <w:pPr>
        <w:jc w:val="both"/>
        <w:rPr>
          <w:rFonts w:ascii="Arial" w:hAnsi="Arial" w:cs="Arial"/>
          <w:b/>
          <w:bCs/>
          <w:sz w:val="23"/>
          <w:szCs w:val="23"/>
        </w:rPr>
      </w:pPr>
      <w:r w:rsidRPr="00FA7895">
        <w:rPr>
          <w:rFonts w:ascii="Arial" w:hAnsi="Arial" w:cs="Arial"/>
          <w:b/>
          <w:bCs/>
          <w:sz w:val="23"/>
          <w:szCs w:val="23"/>
        </w:rPr>
        <w:t>BILANCI 2023</w:t>
      </w:r>
    </w:p>
    <w:p w14:paraId="2C7935A0" w14:textId="77777777" w:rsidR="00C1590F" w:rsidRPr="00C1590F" w:rsidRDefault="00C1590F" w:rsidP="00C1590F">
      <w:pPr>
        <w:jc w:val="both"/>
        <w:rPr>
          <w:rFonts w:ascii="Arial" w:hAnsi="Arial" w:cs="Arial"/>
          <w:sz w:val="23"/>
          <w:szCs w:val="23"/>
        </w:rPr>
      </w:pPr>
      <w:r w:rsidRPr="00C1590F">
        <w:rPr>
          <w:rFonts w:ascii="Arial" w:hAnsi="Arial" w:cs="Arial"/>
          <w:sz w:val="23"/>
          <w:szCs w:val="23"/>
        </w:rPr>
        <w:t> </w:t>
      </w:r>
    </w:p>
    <w:p w14:paraId="410B0767" w14:textId="5A3D21B0" w:rsidR="00C1590F" w:rsidRPr="00FA7895" w:rsidRDefault="00C1590F" w:rsidP="00C1590F">
      <w:pPr>
        <w:jc w:val="both"/>
        <w:rPr>
          <w:rFonts w:ascii="Arial" w:hAnsi="Arial" w:cs="Arial"/>
          <w:sz w:val="23"/>
          <w:szCs w:val="23"/>
        </w:rPr>
      </w:pPr>
      <w:r w:rsidRPr="00C1590F">
        <w:rPr>
          <w:rFonts w:ascii="Arial" w:hAnsi="Arial" w:cs="Arial"/>
          <w:sz w:val="23"/>
          <w:szCs w:val="23"/>
        </w:rPr>
        <w:t xml:space="preserve">Dall'analisi dei bilanci 2023, si nota come il calo del fatturato interessi esclusivamente le </w:t>
      </w:r>
      <w:r w:rsidR="003562D5" w:rsidRPr="00FA7895">
        <w:rPr>
          <w:rFonts w:ascii="Arial" w:hAnsi="Arial" w:cs="Arial"/>
          <w:b/>
          <w:bCs/>
          <w:sz w:val="23"/>
          <w:szCs w:val="23"/>
        </w:rPr>
        <w:t>microimprese</w:t>
      </w:r>
      <w:r w:rsidRPr="00C1590F">
        <w:rPr>
          <w:rFonts w:ascii="Arial" w:hAnsi="Arial" w:cs="Arial"/>
          <w:b/>
          <w:bCs/>
          <w:sz w:val="23"/>
          <w:szCs w:val="23"/>
        </w:rPr>
        <w:t xml:space="preserve"> (-4,1%)</w:t>
      </w:r>
      <w:r w:rsidRPr="00C1590F">
        <w:rPr>
          <w:rFonts w:ascii="Arial" w:hAnsi="Arial" w:cs="Arial"/>
          <w:sz w:val="23"/>
          <w:szCs w:val="23"/>
        </w:rPr>
        <w:t xml:space="preserve"> e le </w:t>
      </w:r>
      <w:r w:rsidRPr="00C1590F">
        <w:rPr>
          <w:rFonts w:ascii="Arial" w:hAnsi="Arial" w:cs="Arial"/>
          <w:b/>
          <w:bCs/>
          <w:sz w:val="23"/>
          <w:szCs w:val="23"/>
        </w:rPr>
        <w:t>grandi imprese (-9,2%),</w:t>
      </w:r>
      <w:r w:rsidRPr="00C1590F">
        <w:rPr>
          <w:rFonts w:ascii="Arial" w:hAnsi="Arial" w:cs="Arial"/>
          <w:sz w:val="23"/>
          <w:szCs w:val="23"/>
        </w:rPr>
        <w:t xml:space="preserve"> mentre le </w:t>
      </w:r>
      <w:r w:rsidRPr="00C1590F">
        <w:rPr>
          <w:rFonts w:ascii="Arial" w:hAnsi="Arial" w:cs="Arial"/>
          <w:b/>
          <w:bCs/>
          <w:sz w:val="23"/>
          <w:szCs w:val="23"/>
        </w:rPr>
        <w:t>Pmi</w:t>
      </w:r>
      <w:r w:rsidRPr="00C1590F">
        <w:rPr>
          <w:rFonts w:ascii="Arial" w:hAnsi="Arial" w:cs="Arial"/>
          <w:sz w:val="23"/>
          <w:szCs w:val="23"/>
        </w:rPr>
        <w:t xml:space="preserve"> hanno visto </w:t>
      </w:r>
      <w:r w:rsidRPr="00C1590F">
        <w:rPr>
          <w:rFonts w:ascii="Arial" w:hAnsi="Arial" w:cs="Arial"/>
          <w:b/>
          <w:bCs/>
          <w:sz w:val="23"/>
          <w:szCs w:val="23"/>
        </w:rPr>
        <w:t>crescere il fatturato</w:t>
      </w:r>
      <w:r w:rsidRPr="00C1590F">
        <w:rPr>
          <w:rFonts w:ascii="Arial" w:hAnsi="Arial" w:cs="Arial"/>
          <w:sz w:val="23"/>
          <w:szCs w:val="23"/>
        </w:rPr>
        <w:t>. Inoltre, il calo ha interessato esclusivamente il Centronord, mentre nel Sud si è verificato un aumento del fatturato (+9,2%). In particolare, nel Centro il calo è stato piuttosto marcato (-13,8%). Inoltre, il calo del fatturato è concentrato nell'industria (-3,4%) e negli "Altri servizi" (-19,4%), mentre Costruzioni (+21,6%) e Alloggio e ristorazione (+17,4%) hanno visto il fatturato continuare a crescere a doppia cifra. </w:t>
      </w:r>
    </w:p>
    <w:p w14:paraId="64EF07E7" w14:textId="77777777" w:rsidR="00C1590F" w:rsidRPr="00C1590F" w:rsidRDefault="00C1590F" w:rsidP="00C1590F">
      <w:pPr>
        <w:jc w:val="both"/>
        <w:rPr>
          <w:rFonts w:ascii="Arial" w:hAnsi="Arial" w:cs="Arial"/>
          <w:sz w:val="23"/>
          <w:szCs w:val="23"/>
        </w:rPr>
      </w:pPr>
    </w:p>
    <w:p w14:paraId="5F27D0CF" w14:textId="657E5EFD" w:rsidR="00C1590F" w:rsidRPr="00C1590F" w:rsidRDefault="00C1590F" w:rsidP="00C1590F">
      <w:pPr>
        <w:jc w:val="both"/>
        <w:rPr>
          <w:rFonts w:ascii="Arial" w:hAnsi="Arial" w:cs="Arial"/>
          <w:sz w:val="23"/>
          <w:szCs w:val="23"/>
        </w:rPr>
      </w:pPr>
      <w:r w:rsidRPr="00C1590F">
        <w:rPr>
          <w:rFonts w:ascii="Arial" w:hAnsi="Arial" w:cs="Arial"/>
          <w:sz w:val="23"/>
          <w:szCs w:val="23"/>
        </w:rPr>
        <w:t xml:space="preserve">I </w:t>
      </w:r>
      <w:r w:rsidRPr="00C1590F">
        <w:rPr>
          <w:rFonts w:ascii="Arial" w:hAnsi="Arial" w:cs="Arial"/>
          <w:b/>
          <w:bCs/>
          <w:sz w:val="23"/>
          <w:szCs w:val="23"/>
        </w:rPr>
        <w:t>dipendenti</w:t>
      </w:r>
      <w:r w:rsidRPr="00C1590F">
        <w:rPr>
          <w:rFonts w:ascii="Arial" w:hAnsi="Arial" w:cs="Arial"/>
          <w:sz w:val="23"/>
          <w:szCs w:val="23"/>
        </w:rPr>
        <w:t xml:space="preserve"> sono </w:t>
      </w:r>
      <w:r w:rsidRPr="00C1590F">
        <w:rPr>
          <w:rFonts w:ascii="Arial" w:hAnsi="Arial" w:cs="Arial"/>
          <w:b/>
          <w:bCs/>
          <w:sz w:val="23"/>
          <w:szCs w:val="23"/>
        </w:rPr>
        <w:t>aumentati in media del 2,1%,</w:t>
      </w:r>
      <w:r w:rsidRPr="00C1590F">
        <w:rPr>
          <w:rFonts w:ascii="Arial" w:hAnsi="Arial" w:cs="Arial"/>
          <w:sz w:val="23"/>
          <w:szCs w:val="23"/>
        </w:rPr>
        <w:t xml:space="preserve"> mentre l'unico segmento a far registrare un calo è stato quello delle </w:t>
      </w:r>
      <w:r w:rsidR="003562D5" w:rsidRPr="00FA7895">
        <w:rPr>
          <w:rFonts w:ascii="Arial" w:hAnsi="Arial" w:cs="Arial"/>
          <w:sz w:val="23"/>
          <w:szCs w:val="23"/>
        </w:rPr>
        <w:t>microimprese</w:t>
      </w:r>
      <w:r w:rsidRPr="00C1590F">
        <w:rPr>
          <w:rFonts w:ascii="Arial" w:hAnsi="Arial" w:cs="Arial"/>
          <w:sz w:val="23"/>
          <w:szCs w:val="23"/>
        </w:rPr>
        <w:t xml:space="preserve"> (-9,1%). La quota di società che chiude il </w:t>
      </w:r>
      <w:r w:rsidRPr="00C1590F">
        <w:rPr>
          <w:rFonts w:ascii="Arial" w:hAnsi="Arial" w:cs="Arial"/>
          <w:b/>
          <w:bCs/>
          <w:sz w:val="23"/>
          <w:szCs w:val="23"/>
        </w:rPr>
        <w:t>bilancio in utile</w:t>
      </w:r>
      <w:r w:rsidRPr="00C1590F">
        <w:rPr>
          <w:rFonts w:ascii="Arial" w:hAnsi="Arial" w:cs="Arial"/>
          <w:sz w:val="23"/>
          <w:szCs w:val="23"/>
        </w:rPr>
        <w:t xml:space="preserve"> sale leggermente portandosi a </w:t>
      </w:r>
      <w:r w:rsidRPr="00C1590F">
        <w:rPr>
          <w:rFonts w:ascii="Arial" w:hAnsi="Arial" w:cs="Arial"/>
          <w:b/>
          <w:bCs/>
          <w:sz w:val="23"/>
          <w:szCs w:val="23"/>
        </w:rPr>
        <w:t>76%</w:t>
      </w:r>
      <w:r w:rsidRPr="00C1590F">
        <w:rPr>
          <w:rFonts w:ascii="Arial" w:hAnsi="Arial" w:cs="Arial"/>
          <w:sz w:val="23"/>
          <w:szCs w:val="23"/>
        </w:rPr>
        <w:t xml:space="preserve">. Anche il grado di </w:t>
      </w:r>
      <w:r w:rsidRPr="00C1590F">
        <w:rPr>
          <w:rFonts w:ascii="Arial" w:hAnsi="Arial" w:cs="Arial"/>
          <w:b/>
          <w:bCs/>
          <w:sz w:val="23"/>
          <w:szCs w:val="23"/>
        </w:rPr>
        <w:t xml:space="preserve">patrimonializzazione </w:t>
      </w:r>
      <w:r w:rsidRPr="00C1590F">
        <w:rPr>
          <w:rFonts w:ascii="Arial" w:hAnsi="Arial" w:cs="Arial"/>
          <w:sz w:val="23"/>
          <w:szCs w:val="23"/>
        </w:rPr>
        <w:t xml:space="preserve">mostra un </w:t>
      </w:r>
      <w:r w:rsidRPr="00C1590F">
        <w:rPr>
          <w:rFonts w:ascii="Arial" w:hAnsi="Arial" w:cs="Arial"/>
          <w:b/>
          <w:bCs/>
          <w:sz w:val="23"/>
          <w:szCs w:val="23"/>
        </w:rPr>
        <w:t>leggero incremento dal 40,1% al 41,7%.</w:t>
      </w:r>
      <w:r w:rsidRPr="00C1590F">
        <w:rPr>
          <w:rFonts w:ascii="Arial" w:hAnsi="Arial" w:cs="Arial"/>
          <w:sz w:val="23"/>
          <w:szCs w:val="23"/>
        </w:rPr>
        <w:t xml:space="preserve"> Il </w:t>
      </w:r>
      <w:r w:rsidRPr="00C1590F">
        <w:rPr>
          <w:rFonts w:ascii="Arial" w:hAnsi="Arial" w:cs="Arial"/>
          <w:b/>
          <w:bCs/>
          <w:sz w:val="23"/>
          <w:szCs w:val="23"/>
        </w:rPr>
        <w:t>Roe passa dall'11.7 al 12,8%,</w:t>
      </w:r>
      <w:r w:rsidRPr="00C1590F">
        <w:rPr>
          <w:rFonts w:ascii="Arial" w:hAnsi="Arial" w:cs="Arial"/>
          <w:sz w:val="23"/>
          <w:szCs w:val="23"/>
        </w:rPr>
        <w:t xml:space="preserve"> mentre il grado di </w:t>
      </w:r>
      <w:r w:rsidRPr="00C1590F">
        <w:rPr>
          <w:rFonts w:ascii="Arial" w:hAnsi="Arial" w:cs="Arial"/>
          <w:b/>
          <w:bCs/>
          <w:sz w:val="23"/>
          <w:szCs w:val="23"/>
        </w:rPr>
        <w:t>indebitamento è invariato al 52,6%</w:t>
      </w:r>
      <w:r w:rsidRPr="00C1590F">
        <w:rPr>
          <w:rFonts w:ascii="Arial" w:hAnsi="Arial" w:cs="Arial"/>
          <w:sz w:val="23"/>
          <w:szCs w:val="23"/>
        </w:rPr>
        <w:t xml:space="preserve"> (debiti in rapporto al totale dell'attivo). Nel complesso, l'incidenza degli oneri finanziari sul </w:t>
      </w:r>
      <w:r w:rsidRPr="00C1590F">
        <w:rPr>
          <w:rFonts w:ascii="Arial" w:hAnsi="Arial" w:cs="Arial"/>
          <w:b/>
          <w:bCs/>
          <w:sz w:val="23"/>
          <w:szCs w:val="23"/>
        </w:rPr>
        <w:t>Mol sale dal 16,8 al 18,3%,</w:t>
      </w:r>
      <w:r w:rsidRPr="00C1590F">
        <w:rPr>
          <w:rFonts w:ascii="Arial" w:hAnsi="Arial" w:cs="Arial"/>
          <w:sz w:val="23"/>
          <w:szCs w:val="23"/>
        </w:rPr>
        <w:t xml:space="preserve"> mentre i </w:t>
      </w:r>
      <w:r w:rsidRPr="00C1590F">
        <w:rPr>
          <w:rFonts w:ascii="Arial" w:hAnsi="Arial" w:cs="Arial"/>
          <w:b/>
          <w:bCs/>
          <w:sz w:val="23"/>
          <w:szCs w:val="23"/>
        </w:rPr>
        <w:t>debiti tributari e previdenziali</w:t>
      </w:r>
      <w:r w:rsidRPr="00C1590F">
        <w:rPr>
          <w:rFonts w:ascii="Arial" w:hAnsi="Arial" w:cs="Arial"/>
          <w:sz w:val="23"/>
          <w:szCs w:val="23"/>
        </w:rPr>
        <w:t xml:space="preserve">, che in media risultano pari </w:t>
      </w:r>
      <w:r w:rsidRPr="00C1590F">
        <w:rPr>
          <w:rFonts w:ascii="Arial" w:hAnsi="Arial" w:cs="Arial"/>
          <w:b/>
          <w:bCs/>
          <w:sz w:val="23"/>
          <w:szCs w:val="23"/>
        </w:rPr>
        <w:t>al 2,4%, salgono al 7%</w:t>
      </w:r>
      <w:r w:rsidRPr="00C1590F">
        <w:rPr>
          <w:rFonts w:ascii="Arial" w:hAnsi="Arial" w:cs="Arial"/>
          <w:sz w:val="23"/>
          <w:szCs w:val="23"/>
        </w:rPr>
        <w:t xml:space="preserve"> per le piccole imprese </w:t>
      </w:r>
      <w:r w:rsidRPr="00C1590F">
        <w:rPr>
          <w:rFonts w:ascii="Arial" w:hAnsi="Arial" w:cs="Arial"/>
          <w:sz w:val="23"/>
          <w:szCs w:val="23"/>
        </w:rPr>
        <w:lastRenderedPageBreak/>
        <w:t xml:space="preserve">(società con fatturato tra 1 e 5 milioni di euro) con un incremento in un solo anno di </w:t>
      </w:r>
      <w:r w:rsidRPr="00C1590F">
        <w:rPr>
          <w:rFonts w:ascii="Arial" w:hAnsi="Arial" w:cs="Arial"/>
          <w:b/>
          <w:bCs/>
          <w:sz w:val="23"/>
          <w:szCs w:val="23"/>
        </w:rPr>
        <w:t>0,6 punti percentuali</w:t>
      </w:r>
      <w:r w:rsidRPr="00C1590F">
        <w:rPr>
          <w:rFonts w:ascii="Arial" w:hAnsi="Arial" w:cs="Arial"/>
          <w:sz w:val="23"/>
          <w:szCs w:val="23"/>
        </w:rPr>
        <w:t>.  </w:t>
      </w:r>
    </w:p>
    <w:p w14:paraId="7FBECFEB" w14:textId="09DF48C5" w:rsidR="00477EF8" w:rsidRDefault="00477EF8" w:rsidP="00C1590F">
      <w:pPr>
        <w:jc w:val="both"/>
        <w:rPr>
          <w:rFonts w:ascii="Arial" w:hAnsi="Arial" w:cs="Arial"/>
          <w:sz w:val="23"/>
          <w:szCs w:val="23"/>
        </w:rPr>
      </w:pPr>
    </w:p>
    <w:p w14:paraId="0C616B0B" w14:textId="77777777" w:rsidR="009F6538" w:rsidRDefault="009F6538" w:rsidP="00C1590F">
      <w:pPr>
        <w:jc w:val="both"/>
        <w:rPr>
          <w:rFonts w:ascii="Arial" w:hAnsi="Arial" w:cs="Arial"/>
          <w:sz w:val="23"/>
          <w:szCs w:val="23"/>
        </w:rPr>
      </w:pPr>
    </w:p>
    <w:p w14:paraId="0D5185BD" w14:textId="6B7522CB" w:rsidR="009F6538" w:rsidRPr="00FA7895" w:rsidRDefault="009F6538" w:rsidP="00C1590F">
      <w:pPr>
        <w:jc w:val="both"/>
        <w:rPr>
          <w:rFonts w:ascii="Arial" w:hAnsi="Arial" w:cs="Arial"/>
          <w:sz w:val="23"/>
          <w:szCs w:val="23"/>
        </w:rPr>
      </w:pPr>
      <w:r>
        <w:rPr>
          <w:noProof/>
          <w14:ligatures w14:val="standardContextual"/>
        </w:rPr>
        <w:drawing>
          <wp:inline distT="0" distB="0" distL="0" distR="0" wp14:anchorId="07C4A476" wp14:editId="60E3536F">
            <wp:extent cx="6120130" cy="3442335"/>
            <wp:effectExtent l="0" t="0" r="0" b="5715"/>
            <wp:docPr id="1795803026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803026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6538" w:rsidRPr="00FA789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7285C" w14:textId="77777777" w:rsidR="00177439" w:rsidRDefault="00177439" w:rsidP="008A20F9">
      <w:r>
        <w:separator/>
      </w:r>
    </w:p>
  </w:endnote>
  <w:endnote w:type="continuationSeparator" w:id="0">
    <w:p w14:paraId="3EB98C7D" w14:textId="77777777" w:rsidR="00177439" w:rsidRDefault="00177439" w:rsidP="008A2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(Corpo)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641E2" w14:textId="77777777" w:rsidR="00177439" w:rsidRDefault="00177439" w:rsidP="008A20F9">
      <w:r>
        <w:separator/>
      </w:r>
    </w:p>
  </w:footnote>
  <w:footnote w:type="continuationSeparator" w:id="0">
    <w:p w14:paraId="5FD25339" w14:textId="77777777" w:rsidR="00177439" w:rsidRDefault="00177439" w:rsidP="008A2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C168" w14:textId="7377384B" w:rsidR="008A20F9" w:rsidRDefault="008A20F9" w:rsidP="008A20F9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FB781BE" wp14:editId="7DF93075">
          <wp:extent cx="2314575" cy="78613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F9"/>
    <w:rsid w:val="00000EC1"/>
    <w:rsid w:val="00036A1E"/>
    <w:rsid w:val="00052BAB"/>
    <w:rsid w:val="00055F3C"/>
    <w:rsid w:val="00073211"/>
    <w:rsid w:val="000816F2"/>
    <w:rsid w:val="00081979"/>
    <w:rsid w:val="00082A9D"/>
    <w:rsid w:val="000A7CC9"/>
    <w:rsid w:val="000B23A2"/>
    <w:rsid w:val="000C31C4"/>
    <w:rsid w:val="000D27AC"/>
    <w:rsid w:val="000E5CC8"/>
    <w:rsid w:val="000E66F1"/>
    <w:rsid w:val="000E7227"/>
    <w:rsid w:val="000F3B82"/>
    <w:rsid w:val="00115409"/>
    <w:rsid w:val="00123117"/>
    <w:rsid w:val="001326DC"/>
    <w:rsid w:val="001569C4"/>
    <w:rsid w:val="0016238D"/>
    <w:rsid w:val="0017383B"/>
    <w:rsid w:val="00177439"/>
    <w:rsid w:val="00184C9B"/>
    <w:rsid w:val="001936AE"/>
    <w:rsid w:val="00193ECA"/>
    <w:rsid w:val="00194F39"/>
    <w:rsid w:val="001A6C56"/>
    <w:rsid w:val="001D76AB"/>
    <w:rsid w:val="001E4981"/>
    <w:rsid w:val="001F164F"/>
    <w:rsid w:val="00205A97"/>
    <w:rsid w:val="002061A1"/>
    <w:rsid w:val="00213E08"/>
    <w:rsid w:val="00230686"/>
    <w:rsid w:val="002330A2"/>
    <w:rsid w:val="00246A14"/>
    <w:rsid w:val="002509B2"/>
    <w:rsid w:val="00251068"/>
    <w:rsid w:val="00251F37"/>
    <w:rsid w:val="00253393"/>
    <w:rsid w:val="00253551"/>
    <w:rsid w:val="002549D7"/>
    <w:rsid w:val="00257A6F"/>
    <w:rsid w:val="00271D93"/>
    <w:rsid w:val="002957A8"/>
    <w:rsid w:val="002A4063"/>
    <w:rsid w:val="002F4C13"/>
    <w:rsid w:val="00325C28"/>
    <w:rsid w:val="00336F75"/>
    <w:rsid w:val="003562D5"/>
    <w:rsid w:val="003645DC"/>
    <w:rsid w:val="00383E28"/>
    <w:rsid w:val="00392A80"/>
    <w:rsid w:val="0039528E"/>
    <w:rsid w:val="003B396B"/>
    <w:rsid w:val="003C73AA"/>
    <w:rsid w:val="003F1CF3"/>
    <w:rsid w:val="003F7323"/>
    <w:rsid w:val="00403777"/>
    <w:rsid w:val="00410A7B"/>
    <w:rsid w:val="0041233E"/>
    <w:rsid w:val="00423A7B"/>
    <w:rsid w:val="004259BA"/>
    <w:rsid w:val="00453CAC"/>
    <w:rsid w:val="00455CEA"/>
    <w:rsid w:val="00470DE9"/>
    <w:rsid w:val="00475192"/>
    <w:rsid w:val="00477EF8"/>
    <w:rsid w:val="004808BB"/>
    <w:rsid w:val="004879A7"/>
    <w:rsid w:val="00495D0D"/>
    <w:rsid w:val="00497CC7"/>
    <w:rsid w:val="004B03D3"/>
    <w:rsid w:val="004E125E"/>
    <w:rsid w:val="004E232F"/>
    <w:rsid w:val="004F0178"/>
    <w:rsid w:val="005043FB"/>
    <w:rsid w:val="00505E0A"/>
    <w:rsid w:val="00506550"/>
    <w:rsid w:val="00517A64"/>
    <w:rsid w:val="00524C36"/>
    <w:rsid w:val="005347A2"/>
    <w:rsid w:val="00552226"/>
    <w:rsid w:val="00560379"/>
    <w:rsid w:val="00582A23"/>
    <w:rsid w:val="005839A6"/>
    <w:rsid w:val="00590128"/>
    <w:rsid w:val="005948DF"/>
    <w:rsid w:val="00594B66"/>
    <w:rsid w:val="005A1CDB"/>
    <w:rsid w:val="005D113A"/>
    <w:rsid w:val="005F55FC"/>
    <w:rsid w:val="0061470B"/>
    <w:rsid w:val="00616738"/>
    <w:rsid w:val="0063007C"/>
    <w:rsid w:val="006359F9"/>
    <w:rsid w:val="006368B3"/>
    <w:rsid w:val="006406DF"/>
    <w:rsid w:val="006471EB"/>
    <w:rsid w:val="0067508F"/>
    <w:rsid w:val="00675625"/>
    <w:rsid w:val="006837AF"/>
    <w:rsid w:val="006A3700"/>
    <w:rsid w:val="006B0B6F"/>
    <w:rsid w:val="006D7DB0"/>
    <w:rsid w:val="00712A28"/>
    <w:rsid w:val="00730088"/>
    <w:rsid w:val="007353A0"/>
    <w:rsid w:val="00737AB1"/>
    <w:rsid w:val="00750C0F"/>
    <w:rsid w:val="00775165"/>
    <w:rsid w:val="0079253B"/>
    <w:rsid w:val="007937D8"/>
    <w:rsid w:val="007C0DA7"/>
    <w:rsid w:val="007D3A62"/>
    <w:rsid w:val="007E0C83"/>
    <w:rsid w:val="007E4A13"/>
    <w:rsid w:val="007F6A8D"/>
    <w:rsid w:val="0080260A"/>
    <w:rsid w:val="00812A1C"/>
    <w:rsid w:val="008279DE"/>
    <w:rsid w:val="00842C15"/>
    <w:rsid w:val="008435D3"/>
    <w:rsid w:val="00872656"/>
    <w:rsid w:val="00872C30"/>
    <w:rsid w:val="00877509"/>
    <w:rsid w:val="00881569"/>
    <w:rsid w:val="008911BC"/>
    <w:rsid w:val="008A20F9"/>
    <w:rsid w:val="008A68AA"/>
    <w:rsid w:val="008B36DC"/>
    <w:rsid w:val="008B5892"/>
    <w:rsid w:val="008B6478"/>
    <w:rsid w:val="008E6D2A"/>
    <w:rsid w:val="00904932"/>
    <w:rsid w:val="00911316"/>
    <w:rsid w:val="00920E92"/>
    <w:rsid w:val="00960DAA"/>
    <w:rsid w:val="00976B3F"/>
    <w:rsid w:val="00990652"/>
    <w:rsid w:val="009A5440"/>
    <w:rsid w:val="009A5C9B"/>
    <w:rsid w:val="009B029E"/>
    <w:rsid w:val="009B4AD6"/>
    <w:rsid w:val="009B69D9"/>
    <w:rsid w:val="009C023F"/>
    <w:rsid w:val="009D653E"/>
    <w:rsid w:val="009D65D1"/>
    <w:rsid w:val="009D7890"/>
    <w:rsid w:val="009D7B64"/>
    <w:rsid w:val="009D7DF7"/>
    <w:rsid w:val="009E7612"/>
    <w:rsid w:val="009F3790"/>
    <w:rsid w:val="009F6538"/>
    <w:rsid w:val="00A02CDA"/>
    <w:rsid w:val="00A21A98"/>
    <w:rsid w:val="00A26135"/>
    <w:rsid w:val="00A27EC8"/>
    <w:rsid w:val="00A37862"/>
    <w:rsid w:val="00A75A96"/>
    <w:rsid w:val="00A7743F"/>
    <w:rsid w:val="00A83ACB"/>
    <w:rsid w:val="00A87349"/>
    <w:rsid w:val="00A9564E"/>
    <w:rsid w:val="00A961CD"/>
    <w:rsid w:val="00AB3193"/>
    <w:rsid w:val="00AB51FE"/>
    <w:rsid w:val="00AC44D3"/>
    <w:rsid w:val="00AD683B"/>
    <w:rsid w:val="00AE5C47"/>
    <w:rsid w:val="00AF3B5E"/>
    <w:rsid w:val="00AF496D"/>
    <w:rsid w:val="00B22B36"/>
    <w:rsid w:val="00B34431"/>
    <w:rsid w:val="00B622FF"/>
    <w:rsid w:val="00B81758"/>
    <w:rsid w:val="00B92B34"/>
    <w:rsid w:val="00BA43D8"/>
    <w:rsid w:val="00BB531C"/>
    <w:rsid w:val="00BD752B"/>
    <w:rsid w:val="00BE06DF"/>
    <w:rsid w:val="00BE4F64"/>
    <w:rsid w:val="00BE6B22"/>
    <w:rsid w:val="00C1590F"/>
    <w:rsid w:val="00C2069F"/>
    <w:rsid w:val="00C26E76"/>
    <w:rsid w:val="00C32D04"/>
    <w:rsid w:val="00C5423E"/>
    <w:rsid w:val="00C54A7A"/>
    <w:rsid w:val="00C653DB"/>
    <w:rsid w:val="00C71E02"/>
    <w:rsid w:val="00C72CE6"/>
    <w:rsid w:val="00C751BF"/>
    <w:rsid w:val="00C8258D"/>
    <w:rsid w:val="00C93E34"/>
    <w:rsid w:val="00CC5721"/>
    <w:rsid w:val="00CC7EBC"/>
    <w:rsid w:val="00CD6241"/>
    <w:rsid w:val="00CD6811"/>
    <w:rsid w:val="00CD785A"/>
    <w:rsid w:val="00CE1BC5"/>
    <w:rsid w:val="00D125A3"/>
    <w:rsid w:val="00D4253F"/>
    <w:rsid w:val="00D52088"/>
    <w:rsid w:val="00D66040"/>
    <w:rsid w:val="00D87634"/>
    <w:rsid w:val="00DA19F5"/>
    <w:rsid w:val="00DB70E6"/>
    <w:rsid w:val="00DC26A1"/>
    <w:rsid w:val="00DC7953"/>
    <w:rsid w:val="00DD42BD"/>
    <w:rsid w:val="00DD4CF8"/>
    <w:rsid w:val="00DE22D9"/>
    <w:rsid w:val="00E01B44"/>
    <w:rsid w:val="00E31675"/>
    <w:rsid w:val="00E33560"/>
    <w:rsid w:val="00E448A2"/>
    <w:rsid w:val="00E63630"/>
    <w:rsid w:val="00E73941"/>
    <w:rsid w:val="00E8677B"/>
    <w:rsid w:val="00E87288"/>
    <w:rsid w:val="00E926E5"/>
    <w:rsid w:val="00EC13EF"/>
    <w:rsid w:val="00EC353A"/>
    <w:rsid w:val="00ED7378"/>
    <w:rsid w:val="00EE4E51"/>
    <w:rsid w:val="00EE76A6"/>
    <w:rsid w:val="00EF333C"/>
    <w:rsid w:val="00EF7264"/>
    <w:rsid w:val="00F01297"/>
    <w:rsid w:val="00F01E5E"/>
    <w:rsid w:val="00F03E63"/>
    <w:rsid w:val="00F2319D"/>
    <w:rsid w:val="00F46328"/>
    <w:rsid w:val="00F72001"/>
    <w:rsid w:val="00F94166"/>
    <w:rsid w:val="00F943E3"/>
    <w:rsid w:val="00FA7895"/>
    <w:rsid w:val="00FB12E3"/>
    <w:rsid w:val="00FB2737"/>
    <w:rsid w:val="00FB2A83"/>
    <w:rsid w:val="00FB2BCB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6EAA4"/>
  <w15:docId w15:val="{614D5895-2585-4454-905D-CEA1298F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4C36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359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59F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59F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59F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59F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59F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59F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5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5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5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59F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59F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59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59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59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59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59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35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59F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5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59F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59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59F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359F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5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59F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59F9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EC353A"/>
    <w:rPr>
      <w:b/>
      <w:bCs/>
    </w:rPr>
  </w:style>
  <w:style w:type="character" w:styleId="Enfasicorsivo">
    <w:name w:val="Emphasis"/>
    <w:basedOn w:val="Carpredefinitoparagrafo"/>
    <w:uiPriority w:val="20"/>
    <w:qFormat/>
    <w:rsid w:val="00EC353A"/>
    <w:rPr>
      <w:i/>
      <w:iCs/>
    </w:rPr>
  </w:style>
  <w:style w:type="paragraph" w:styleId="NormaleWeb">
    <w:name w:val="Normal (Web)"/>
    <w:basedOn w:val="Normale"/>
    <w:uiPriority w:val="99"/>
    <w:unhideWhenUsed/>
    <w:rsid w:val="00EC35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8A20F9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0F9"/>
  </w:style>
  <w:style w:type="paragraph" w:styleId="Pidipagina">
    <w:name w:val="footer"/>
    <w:basedOn w:val="Normale"/>
    <w:link w:val="PidipaginaCarattere"/>
    <w:uiPriority w:val="99"/>
    <w:unhideWhenUsed/>
    <w:rsid w:val="008A20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0F9"/>
  </w:style>
  <w:style w:type="paragraph" w:customStyle="1" w:styleId="xmsonormal">
    <w:name w:val="x_msonormal"/>
    <w:basedOn w:val="Normale"/>
    <w:rsid w:val="00A83ACB"/>
  </w:style>
  <w:style w:type="paragraph" w:styleId="Testonotaapidipagina">
    <w:name w:val="footnote text"/>
    <w:aliases w:val="Nota_2,Testo nota a piè di pagina Carattere Carattere,Testo nota a piè di pagina Carattere1 Carattere Carattere,Testo nota a piè di pagina Carattere2 Carattere Carattere,note,o,stile 1,f"/>
    <w:basedOn w:val="Normale"/>
    <w:link w:val="TestonotaapidipaginaCarattere"/>
    <w:uiPriority w:val="99"/>
    <w:unhideWhenUsed/>
    <w:qFormat/>
    <w:rsid w:val="00184C9B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Nota_2 Carattere,Testo nota a piè di pagina Carattere Carattere Carattere,Testo nota a piè di pagina Carattere1 Carattere Carattere Carattere,Testo nota a piè di pagina Carattere2 Carattere Carattere Carattere"/>
    <w:basedOn w:val="Carpredefinitoparagrafo"/>
    <w:link w:val="Testonotaapidipagina"/>
    <w:uiPriority w:val="99"/>
    <w:rsid w:val="00184C9B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rsid w:val="00184C9B"/>
    <w:rPr>
      <w:vertAlign w:val="superscript"/>
    </w:rPr>
  </w:style>
  <w:style w:type="paragraph" w:styleId="Sommario1">
    <w:name w:val="toc 1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before="200" w:after="80" w:line="264" w:lineRule="auto"/>
      <w:ind w:left="284" w:right="907" w:hanging="284"/>
      <w:jc w:val="both"/>
    </w:pPr>
    <w:rPr>
      <w:rFonts w:asciiTheme="minorHAnsi" w:eastAsiaTheme="minorEastAsia" w:hAnsiTheme="minorHAnsi" w:cs="Calibri (Corpo)"/>
      <w:bCs/>
      <w:smallCaps/>
      <w:noProof/>
      <w:color w:val="404040" w:themeColor="text1" w:themeTint="BF"/>
      <w:sz w:val="23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D4253F"/>
    <w:rPr>
      <w:color w:val="467886" w:themeColor="hyperlink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D4253F"/>
    <w:pPr>
      <w:tabs>
        <w:tab w:val="left" w:pos="7938"/>
      </w:tabs>
      <w:spacing w:after="100" w:line="264" w:lineRule="auto"/>
      <w:ind w:left="709" w:right="2835" w:hanging="425"/>
      <w:jc w:val="both"/>
    </w:pPr>
    <w:rPr>
      <w:rFonts w:asciiTheme="minorHAnsi" w:eastAsiaTheme="minorEastAsia" w:hAnsiTheme="minorHAnsi" w:cstheme="minorBidi"/>
      <w:color w:val="404040" w:themeColor="text1" w:themeTint="BF"/>
      <w:sz w:val="21"/>
      <w:szCs w:val="21"/>
      <w:lang w:eastAsia="en-US"/>
    </w:rPr>
  </w:style>
  <w:style w:type="paragraph" w:customStyle="1" w:styleId="Default">
    <w:name w:val="Default"/>
    <w:basedOn w:val="Normale"/>
    <w:qFormat/>
    <w:rsid w:val="001A6C56"/>
    <w:rPr>
      <w:rFonts w:ascii="Arial" w:eastAsia="Arial" w:hAnsi="Arial" w:cs="Times New Roman"/>
      <w:color w:val="000000"/>
      <w:lang w:bidi="it-IT"/>
      <w14:ligatures w14:val="standardContextual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743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59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59BA"/>
    <w:rPr>
      <w:rFonts w:ascii="Tahoma" w:hAnsi="Tahoma" w:cs="Tahoma"/>
      <w:kern w:val="0"/>
      <w:sz w:val="16"/>
      <w:szCs w:val="16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6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2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2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2025-01-29T14:47:00Z</dcterms:created>
  <dcterms:modified xsi:type="dcterms:W3CDTF">2025-01-29T14:49:00Z</dcterms:modified>
</cp:coreProperties>
</file>