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842C15" w:rsidRDefault="00505E0A" w:rsidP="007E4A13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2AE43ED5" w14:textId="77777777" w:rsidR="007E4A13" w:rsidRPr="00842C15" w:rsidRDefault="007E4A13" w:rsidP="007E4A13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1D6B2D78" w14:textId="77777777" w:rsidR="001D1812" w:rsidRPr="00D05CD2" w:rsidRDefault="001D1812" w:rsidP="001D1812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33BC1EA0" w14:textId="77777777" w:rsidR="001D1812" w:rsidRPr="00D05CD2" w:rsidRDefault="001D1812" w:rsidP="001D1812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52EFA548" w14:textId="77777777" w:rsidR="001D1812" w:rsidRPr="00D05CD2" w:rsidRDefault="001D1812" w:rsidP="001D1812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b/>
          <w:bCs/>
          <w:color w:val="000000"/>
          <w:sz w:val="23"/>
          <w:szCs w:val="23"/>
        </w:rPr>
        <w:t>COMMERCIALISTI: FONDAZIONI “PUBBLICHE”, UN IBRIDO DA DECIFRARE</w:t>
      </w:r>
    </w:p>
    <w:p w14:paraId="4EA4AE18" w14:textId="77777777" w:rsidR="001D1812" w:rsidRPr="00D05CD2" w:rsidRDefault="001D1812" w:rsidP="001D1812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b/>
          <w:bCs/>
          <w:color w:val="000000"/>
          <w:sz w:val="23"/>
          <w:szCs w:val="23"/>
        </w:rPr>
        <w:t> </w:t>
      </w:r>
    </w:p>
    <w:p w14:paraId="1EB7C0FD" w14:textId="77777777" w:rsidR="001D1812" w:rsidRPr="00D05CD2" w:rsidRDefault="001D1812" w:rsidP="001D1812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b/>
          <w:bCs/>
          <w:color w:val="000000"/>
          <w:sz w:val="23"/>
          <w:szCs w:val="23"/>
        </w:rPr>
        <w:t>Documento dell’Osservatorio Enti Pubblici e Società partecipate del Consiglio Nazionale della categoria. Un Il lavoro che punta a fornire le coordinate per ricomporre il puzzle normativo in un panorama frastagliato</w:t>
      </w:r>
    </w:p>
    <w:p w14:paraId="0A735D77" w14:textId="77777777" w:rsidR="001D1812" w:rsidRPr="00D05CD2" w:rsidRDefault="001D1812" w:rsidP="001D1812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06D55083" w14:textId="6AF65EBB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Roma, 22 gennaio 2025 </w:t>
      </w:r>
      <w:r w:rsidR="00023591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– </w:t>
      </w:r>
      <w:r w:rsidR="00023591" w:rsidRPr="00D05CD2">
        <w:rPr>
          <w:rFonts w:ascii="Arial" w:eastAsia="Times New Roman" w:hAnsi="Arial" w:cs="Arial"/>
          <w:color w:val="000000"/>
          <w:sz w:val="23"/>
          <w:szCs w:val="23"/>
        </w:rPr>
        <w:t>“</w:t>
      </w:r>
      <w:r w:rsidRPr="004D2DDB">
        <w:rPr>
          <w:rFonts w:ascii="Arial" w:eastAsia="Times New Roman" w:hAnsi="Arial" w:cs="Arial"/>
          <w:b/>
          <w:bCs/>
          <w:color w:val="000000"/>
          <w:sz w:val="23"/>
          <w:szCs w:val="23"/>
        </w:rPr>
        <w:t>Fondazioni Pubbliche</w:t>
      </w:r>
      <w:r w:rsidRPr="00D05CD2">
        <w:rPr>
          <w:rFonts w:ascii="Arial" w:eastAsia="Times New Roman" w:hAnsi="Arial" w:cs="Arial"/>
          <w:color w:val="000000"/>
          <w:sz w:val="23"/>
          <w:szCs w:val="23"/>
        </w:rPr>
        <w:t>” è il titolo del nuovo documento pubblicato dall’</w:t>
      </w:r>
      <w:r w:rsidRPr="004D2DDB">
        <w:rPr>
          <w:rFonts w:ascii="Arial" w:eastAsia="Times New Roman" w:hAnsi="Arial" w:cs="Arial"/>
          <w:b/>
          <w:bCs/>
          <w:color w:val="000000"/>
          <w:sz w:val="23"/>
          <w:szCs w:val="23"/>
        </w:rPr>
        <w:t>Osservatorio Enti Pubblici e Società partecipate </w:t>
      </w:r>
      <w:r w:rsidRPr="00D05CD2">
        <w:rPr>
          <w:rFonts w:ascii="Arial" w:eastAsia="Times New Roman" w:hAnsi="Arial" w:cs="Arial"/>
          <w:color w:val="000000"/>
          <w:sz w:val="23"/>
          <w:szCs w:val="23"/>
        </w:rPr>
        <w:t>del Consiglio Nazionale dei Commercialisti, che si occupa delle fondazioni di diritto privato caratterizzate da un contatto qualificato, più o meno intenso, con amministrazioni pubbliche.  </w:t>
      </w:r>
    </w:p>
    <w:p w14:paraId="407E607F" w14:textId="77777777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4B48B6BC" w14:textId="77777777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 xml:space="preserve">“Il fenomeno – sottolinea nella presentazione del documento il presidente del Consiglio nazionale, </w:t>
      </w:r>
      <w:r w:rsidRPr="004D2DDB">
        <w:rPr>
          <w:rFonts w:ascii="Arial" w:eastAsia="Times New Roman" w:hAnsi="Arial" w:cs="Arial"/>
          <w:b/>
          <w:bCs/>
          <w:color w:val="000000"/>
          <w:sz w:val="23"/>
          <w:szCs w:val="23"/>
        </w:rPr>
        <w:t>Elbano de Nuccio</w:t>
      </w:r>
      <w:r w:rsidRPr="00D05CD2">
        <w:rPr>
          <w:rFonts w:ascii="Arial" w:eastAsia="Times New Roman" w:hAnsi="Arial" w:cs="Arial"/>
          <w:color w:val="000000"/>
          <w:sz w:val="23"/>
          <w:szCs w:val="23"/>
        </w:rPr>
        <w:t xml:space="preserve"> – è poco studiato ma sempre più ricorrente nella prassi. Ed è foriero di non pochi dubbi applicativi perché la materia, a differenza del settore societario, non è regolata da un testo unico e l’interprete non può quindi contare su un solido apparato di principi e definizioni. Il lavoro dell’osservatorio è estremamente originale e si incarica di fornire le coordinate per ricomporre il puzzle normativo in un panorama frastagliato”. </w:t>
      </w:r>
    </w:p>
    <w:p w14:paraId="3F9738E4" w14:textId="77777777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276E6091" w14:textId="77777777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 xml:space="preserve">“La peculiarità di tali fondazioni – spiega il coordinatore scientifico dell’Osservatorio Enti Pubblici e Società partecipate, </w:t>
      </w:r>
      <w:r w:rsidRPr="004D2DDB">
        <w:rPr>
          <w:rFonts w:ascii="Arial" w:eastAsia="Times New Roman" w:hAnsi="Arial" w:cs="Arial"/>
          <w:b/>
          <w:bCs/>
          <w:color w:val="000000"/>
          <w:sz w:val="23"/>
          <w:szCs w:val="23"/>
        </w:rPr>
        <w:t>Davide di Russo</w:t>
      </w:r>
      <w:r w:rsidRPr="00D05CD2">
        <w:rPr>
          <w:rFonts w:ascii="Arial" w:eastAsia="Times New Roman" w:hAnsi="Arial" w:cs="Arial"/>
          <w:color w:val="000000"/>
          <w:sz w:val="23"/>
          <w:szCs w:val="23"/>
        </w:rPr>
        <w:t> – risiede nel “contatto” qualificato con la P.A., integrato dal fatto che la P.A. è – alternativamente o cumulativamente - fondatrice, partecipante, o semplicemente titolare di un potere di nomina degli organi o comunque in grado di condizionare l’attività della fondazione in forza di relazioni contrattuali. In tutti questi casi, si pone la questione della potenziale applicabilità a un ente di diritto privato di segmenti di disciplina pubblicistica, tanto più estesi quanto più penetrante e qualificato è il contatto”.</w:t>
      </w:r>
    </w:p>
    <w:p w14:paraId="507B5711" w14:textId="77777777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26C81074" w14:textId="77777777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 xml:space="preserve">Il documento evidenzia anzitutto entro che limiti le PA possono costituire e/o partecipare a fondazioni, nonché quali attività possono svolgere per loro tramite e secondo quali modalità. Quindi sono passate in rassegna le norme di diritto pubblico suscettibili di rilevare e a quali condizioni. Infine, dopo aver affrontato le questioni relative alla giurisdizione contabile, ai limiti al sostegno finanziario pubblico, alla trasformazione di società partecipata in fondazione “pubblica”, alla liquidazione, estinzione e crisi della fondazione, il documento si chiude con un </w:t>
      </w:r>
      <w:r w:rsidRPr="00D05CD2">
        <w:rPr>
          <w:rFonts w:ascii="Arial" w:eastAsia="Times New Roman" w:hAnsi="Arial" w:cs="Arial"/>
          <w:i/>
          <w:iCs/>
          <w:color w:val="000000"/>
          <w:sz w:val="23"/>
          <w:szCs w:val="23"/>
        </w:rPr>
        <w:t>focus</w:t>
      </w:r>
      <w:r w:rsidRPr="00D05CD2">
        <w:rPr>
          <w:rFonts w:ascii="Arial" w:eastAsia="Times New Roman" w:hAnsi="Arial" w:cs="Arial"/>
          <w:color w:val="000000"/>
          <w:sz w:val="23"/>
          <w:szCs w:val="23"/>
        </w:rPr>
        <w:t> in materia tributaria e fiscale”.</w:t>
      </w:r>
    </w:p>
    <w:p w14:paraId="642BED7B" w14:textId="77777777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0442827F" w14:textId="77777777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 xml:space="preserve">Hanno contributo alla redazione del documento, nella loro qualità di membri dell’Osservatorio, Giancarlo </w:t>
      </w:r>
      <w:proofErr w:type="spellStart"/>
      <w:r w:rsidRPr="00D05CD2">
        <w:rPr>
          <w:rFonts w:ascii="Arial" w:eastAsia="Times New Roman" w:hAnsi="Arial" w:cs="Arial"/>
          <w:color w:val="000000"/>
          <w:sz w:val="23"/>
          <w:szCs w:val="23"/>
        </w:rPr>
        <w:t>Astegiano</w:t>
      </w:r>
      <w:proofErr w:type="spellEnd"/>
      <w:r w:rsidRPr="00D05CD2">
        <w:rPr>
          <w:rFonts w:ascii="Arial" w:eastAsia="Times New Roman" w:hAnsi="Arial" w:cs="Arial"/>
          <w:color w:val="000000"/>
          <w:sz w:val="23"/>
          <w:szCs w:val="23"/>
        </w:rPr>
        <w:t xml:space="preserve">, Filippo Barbagallo, Salvatore Bilardo, Harald Bonura, Marco Castellani, Antonio Colaianni, Giordano Colarullo, Luigi Di Marco, Andrea Ferri, Stefano </w:t>
      </w:r>
      <w:proofErr w:type="spellStart"/>
      <w:r w:rsidRPr="00D05CD2">
        <w:rPr>
          <w:rFonts w:ascii="Arial" w:eastAsia="Times New Roman" w:hAnsi="Arial" w:cs="Arial"/>
          <w:color w:val="000000"/>
          <w:sz w:val="23"/>
          <w:szCs w:val="23"/>
        </w:rPr>
        <w:t>Glinianski</w:t>
      </w:r>
      <w:proofErr w:type="spellEnd"/>
      <w:r w:rsidRPr="00D05CD2">
        <w:rPr>
          <w:rFonts w:ascii="Arial" w:eastAsia="Times New Roman" w:hAnsi="Arial" w:cs="Arial"/>
          <w:color w:val="000000"/>
          <w:sz w:val="23"/>
          <w:szCs w:val="23"/>
        </w:rPr>
        <w:t xml:space="preserve">, Rocco Guglielmo, Bernardo Giorgio Mattarella, Tommaso Miele, Veronica Nicotra, Luciano Panzani, Francesca </w:t>
      </w:r>
      <w:proofErr w:type="spellStart"/>
      <w:r w:rsidRPr="00D05CD2">
        <w:rPr>
          <w:rFonts w:ascii="Arial" w:eastAsia="Times New Roman" w:hAnsi="Arial" w:cs="Arial"/>
          <w:color w:val="000000"/>
          <w:sz w:val="23"/>
          <w:szCs w:val="23"/>
        </w:rPr>
        <w:t>Palisi</w:t>
      </w:r>
      <w:proofErr w:type="spellEnd"/>
      <w:r w:rsidRPr="00D05CD2">
        <w:rPr>
          <w:rFonts w:ascii="Arial" w:eastAsia="Times New Roman" w:hAnsi="Arial" w:cs="Arial"/>
          <w:color w:val="000000"/>
          <w:sz w:val="23"/>
          <w:szCs w:val="23"/>
        </w:rPr>
        <w:t>, Alessandro Pettinato, Riccardo Ranalli, Cinzia Simeone, Rosa Valentino.</w:t>
      </w:r>
    </w:p>
    <w:p w14:paraId="0694EA74" w14:textId="77777777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19F30CFB" w14:textId="77777777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>I consiglieri nazionali dei commercialisti delegati agli Enti locali sono </w:t>
      </w:r>
      <w:r w:rsidRPr="004D2DDB">
        <w:rPr>
          <w:rFonts w:ascii="Arial" w:eastAsia="Times New Roman" w:hAnsi="Arial" w:cs="Arial"/>
          <w:b/>
          <w:bCs/>
          <w:color w:val="000000"/>
          <w:sz w:val="23"/>
          <w:szCs w:val="23"/>
        </w:rPr>
        <w:t>Cristina Bertinelli</w:t>
      </w:r>
      <w:r w:rsidRPr="00D05CD2">
        <w:rPr>
          <w:rFonts w:ascii="Arial" w:eastAsia="Times New Roman" w:hAnsi="Arial" w:cs="Arial"/>
          <w:color w:val="000000"/>
          <w:sz w:val="23"/>
          <w:szCs w:val="23"/>
        </w:rPr>
        <w:t xml:space="preserve"> e </w:t>
      </w:r>
      <w:r w:rsidRPr="004D2DDB">
        <w:rPr>
          <w:rFonts w:ascii="Arial" w:eastAsia="Times New Roman" w:hAnsi="Arial" w:cs="Arial"/>
          <w:b/>
          <w:bCs/>
          <w:color w:val="000000"/>
          <w:sz w:val="23"/>
          <w:szCs w:val="23"/>
        </w:rPr>
        <w:t>Giuseppe Venneri.</w:t>
      </w:r>
    </w:p>
    <w:p w14:paraId="1C45AC70" w14:textId="77777777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37F50175" w14:textId="190BF8E1" w:rsidR="001D1812" w:rsidRPr="00D05CD2" w:rsidRDefault="001D1812" w:rsidP="001D1812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05CD2">
        <w:rPr>
          <w:rFonts w:ascii="Arial" w:eastAsia="Times New Roman" w:hAnsi="Arial" w:cs="Arial"/>
          <w:color w:val="000000"/>
          <w:sz w:val="23"/>
          <w:szCs w:val="23"/>
        </w:rPr>
        <w:t xml:space="preserve">Il presidente aggiunto della Corte dei conti, </w:t>
      </w:r>
      <w:r w:rsidRPr="004D2DDB">
        <w:rPr>
          <w:rFonts w:ascii="Arial" w:eastAsia="Times New Roman" w:hAnsi="Arial" w:cs="Arial"/>
          <w:b/>
          <w:bCs/>
          <w:color w:val="000000"/>
          <w:sz w:val="23"/>
          <w:szCs w:val="23"/>
        </w:rPr>
        <w:t>Tommaso Miele</w:t>
      </w:r>
      <w:r w:rsidRPr="00D05CD2">
        <w:rPr>
          <w:rFonts w:ascii="Arial" w:eastAsia="Times New Roman" w:hAnsi="Arial" w:cs="Arial"/>
          <w:color w:val="000000"/>
          <w:sz w:val="23"/>
          <w:szCs w:val="23"/>
        </w:rPr>
        <w:t xml:space="preserve">, ha proposto, anche allo scopo di valorizzare e pubblicizzare il documento, di approfondire il tema in un apposito convegno da organizzare nel mese di aprile, che potrebbe svolgersi presso la </w:t>
      </w:r>
      <w:r w:rsidR="00E470FB" w:rsidRPr="00D05CD2">
        <w:rPr>
          <w:rFonts w:ascii="Arial" w:eastAsia="Times New Roman" w:hAnsi="Arial" w:cs="Arial"/>
          <w:color w:val="000000"/>
          <w:sz w:val="23"/>
          <w:szCs w:val="23"/>
        </w:rPr>
        <w:t>Corte dei conti</w:t>
      </w:r>
      <w:r w:rsidRPr="00D05CD2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4D45A4E5" w14:textId="77777777" w:rsidR="001D1812" w:rsidRPr="00D05CD2" w:rsidRDefault="001D1812" w:rsidP="001D1812">
      <w:pPr>
        <w:jc w:val="both"/>
        <w:rPr>
          <w:rFonts w:ascii="Arial" w:eastAsia="Times New Roman" w:hAnsi="Arial" w:cs="Arial"/>
          <w:color w:val="ED5C57"/>
          <w:sz w:val="23"/>
          <w:szCs w:val="23"/>
        </w:rPr>
      </w:pPr>
    </w:p>
    <w:p w14:paraId="1323771E" w14:textId="77777777" w:rsidR="00437EA9" w:rsidRPr="00D05CD2" w:rsidRDefault="00437EA9" w:rsidP="001D1812">
      <w:pPr>
        <w:jc w:val="center"/>
        <w:rPr>
          <w:rFonts w:ascii="Arial" w:hAnsi="Arial" w:cs="Arial"/>
          <w:sz w:val="23"/>
          <w:szCs w:val="23"/>
        </w:rPr>
      </w:pPr>
    </w:p>
    <w:sectPr w:rsidR="00437EA9" w:rsidRPr="00D05CD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761C" w14:textId="77777777" w:rsidR="00AD0F19" w:rsidRDefault="00AD0F19" w:rsidP="008A20F9">
      <w:r>
        <w:separator/>
      </w:r>
    </w:p>
  </w:endnote>
  <w:endnote w:type="continuationSeparator" w:id="0">
    <w:p w14:paraId="7ED79B99" w14:textId="77777777" w:rsidR="00AD0F19" w:rsidRDefault="00AD0F19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B0FA" w14:textId="77777777" w:rsidR="00AD0F19" w:rsidRDefault="00AD0F19" w:rsidP="008A20F9">
      <w:r>
        <w:separator/>
      </w:r>
    </w:p>
  </w:footnote>
  <w:footnote w:type="continuationSeparator" w:id="0">
    <w:p w14:paraId="057CB4F8" w14:textId="77777777" w:rsidR="00AD0F19" w:rsidRDefault="00AD0F19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23591"/>
    <w:rsid w:val="00036A1E"/>
    <w:rsid w:val="00052BAB"/>
    <w:rsid w:val="00055F3C"/>
    <w:rsid w:val="00073211"/>
    <w:rsid w:val="000816F2"/>
    <w:rsid w:val="00081979"/>
    <w:rsid w:val="00082A9D"/>
    <w:rsid w:val="000A7CC9"/>
    <w:rsid w:val="000D27AC"/>
    <w:rsid w:val="000E5CC8"/>
    <w:rsid w:val="000E66F1"/>
    <w:rsid w:val="000E7227"/>
    <w:rsid w:val="000F3B82"/>
    <w:rsid w:val="00115409"/>
    <w:rsid w:val="0012203C"/>
    <w:rsid w:val="00123117"/>
    <w:rsid w:val="001326DC"/>
    <w:rsid w:val="001569C4"/>
    <w:rsid w:val="00184C9B"/>
    <w:rsid w:val="001936AE"/>
    <w:rsid w:val="00193ECA"/>
    <w:rsid w:val="001D1812"/>
    <w:rsid w:val="001F164F"/>
    <w:rsid w:val="00213E08"/>
    <w:rsid w:val="00230686"/>
    <w:rsid w:val="002330A2"/>
    <w:rsid w:val="00246A14"/>
    <w:rsid w:val="002509B2"/>
    <w:rsid w:val="00251068"/>
    <w:rsid w:val="00251F37"/>
    <w:rsid w:val="00253393"/>
    <w:rsid w:val="00253551"/>
    <w:rsid w:val="00264425"/>
    <w:rsid w:val="0026577C"/>
    <w:rsid w:val="00271D93"/>
    <w:rsid w:val="002957A8"/>
    <w:rsid w:val="002D55EB"/>
    <w:rsid w:val="002F4C13"/>
    <w:rsid w:val="00325C28"/>
    <w:rsid w:val="00336F75"/>
    <w:rsid w:val="00361C49"/>
    <w:rsid w:val="00383E28"/>
    <w:rsid w:val="00385A9E"/>
    <w:rsid w:val="0039528E"/>
    <w:rsid w:val="003B396B"/>
    <w:rsid w:val="003F7323"/>
    <w:rsid w:val="00403777"/>
    <w:rsid w:val="00410A7B"/>
    <w:rsid w:val="00423A7B"/>
    <w:rsid w:val="00437EA9"/>
    <w:rsid w:val="00453CAC"/>
    <w:rsid w:val="00455CEA"/>
    <w:rsid w:val="0045686E"/>
    <w:rsid w:val="00470DE9"/>
    <w:rsid w:val="00475192"/>
    <w:rsid w:val="004808BB"/>
    <w:rsid w:val="00495D0D"/>
    <w:rsid w:val="00497CC7"/>
    <w:rsid w:val="004B03D3"/>
    <w:rsid w:val="004D2DDB"/>
    <w:rsid w:val="004E125E"/>
    <w:rsid w:val="004E232F"/>
    <w:rsid w:val="005043FB"/>
    <w:rsid w:val="00505E0A"/>
    <w:rsid w:val="00517A64"/>
    <w:rsid w:val="00524C36"/>
    <w:rsid w:val="00560379"/>
    <w:rsid w:val="00582A23"/>
    <w:rsid w:val="005839A6"/>
    <w:rsid w:val="005948DF"/>
    <w:rsid w:val="00594B66"/>
    <w:rsid w:val="005A1CDB"/>
    <w:rsid w:val="005D113A"/>
    <w:rsid w:val="005F104A"/>
    <w:rsid w:val="005F1D7D"/>
    <w:rsid w:val="0061470B"/>
    <w:rsid w:val="00616738"/>
    <w:rsid w:val="0063007C"/>
    <w:rsid w:val="006359F9"/>
    <w:rsid w:val="006368B3"/>
    <w:rsid w:val="006406DF"/>
    <w:rsid w:val="0067508F"/>
    <w:rsid w:val="00685906"/>
    <w:rsid w:val="006A3700"/>
    <w:rsid w:val="006D7DB0"/>
    <w:rsid w:val="006F0340"/>
    <w:rsid w:val="00730088"/>
    <w:rsid w:val="007353A0"/>
    <w:rsid w:val="00737AB1"/>
    <w:rsid w:val="00750C0F"/>
    <w:rsid w:val="0079253B"/>
    <w:rsid w:val="00795EAF"/>
    <w:rsid w:val="007C0DA7"/>
    <w:rsid w:val="007D3A62"/>
    <w:rsid w:val="007E0C83"/>
    <w:rsid w:val="007E4A13"/>
    <w:rsid w:val="007F6A8D"/>
    <w:rsid w:val="0080260A"/>
    <w:rsid w:val="00842C15"/>
    <w:rsid w:val="008435D3"/>
    <w:rsid w:val="00881569"/>
    <w:rsid w:val="008A20F9"/>
    <w:rsid w:val="008A68AA"/>
    <w:rsid w:val="008B36DC"/>
    <w:rsid w:val="008B5892"/>
    <w:rsid w:val="008E6D2A"/>
    <w:rsid w:val="008F7875"/>
    <w:rsid w:val="00911316"/>
    <w:rsid w:val="00920E92"/>
    <w:rsid w:val="00960DAA"/>
    <w:rsid w:val="00976B3F"/>
    <w:rsid w:val="00997243"/>
    <w:rsid w:val="009B029E"/>
    <w:rsid w:val="009B69D9"/>
    <w:rsid w:val="009D653E"/>
    <w:rsid w:val="009D65D1"/>
    <w:rsid w:val="009D7B64"/>
    <w:rsid w:val="009D7DF7"/>
    <w:rsid w:val="009E7612"/>
    <w:rsid w:val="009F3790"/>
    <w:rsid w:val="00A02CDA"/>
    <w:rsid w:val="00A21A98"/>
    <w:rsid w:val="00A27EC8"/>
    <w:rsid w:val="00A75A96"/>
    <w:rsid w:val="00A83ACB"/>
    <w:rsid w:val="00A87349"/>
    <w:rsid w:val="00A9564E"/>
    <w:rsid w:val="00A961CD"/>
    <w:rsid w:val="00AB3193"/>
    <w:rsid w:val="00AB51FE"/>
    <w:rsid w:val="00AD0F19"/>
    <w:rsid w:val="00AD683B"/>
    <w:rsid w:val="00AE5C47"/>
    <w:rsid w:val="00AF48E9"/>
    <w:rsid w:val="00AF496D"/>
    <w:rsid w:val="00B622FF"/>
    <w:rsid w:val="00B81758"/>
    <w:rsid w:val="00B92B34"/>
    <w:rsid w:val="00BD752B"/>
    <w:rsid w:val="00BE6B22"/>
    <w:rsid w:val="00C32D04"/>
    <w:rsid w:val="00C54A7A"/>
    <w:rsid w:val="00C653DB"/>
    <w:rsid w:val="00C71E02"/>
    <w:rsid w:val="00C751BF"/>
    <w:rsid w:val="00C8258D"/>
    <w:rsid w:val="00C93E34"/>
    <w:rsid w:val="00CC5721"/>
    <w:rsid w:val="00CC7EBC"/>
    <w:rsid w:val="00CD6241"/>
    <w:rsid w:val="00D05CD2"/>
    <w:rsid w:val="00D2682A"/>
    <w:rsid w:val="00D3338A"/>
    <w:rsid w:val="00D4253F"/>
    <w:rsid w:val="00D52088"/>
    <w:rsid w:val="00D66040"/>
    <w:rsid w:val="00D66270"/>
    <w:rsid w:val="00DA19F5"/>
    <w:rsid w:val="00DC26A1"/>
    <w:rsid w:val="00DC7953"/>
    <w:rsid w:val="00DD42BD"/>
    <w:rsid w:val="00DD4CF8"/>
    <w:rsid w:val="00DE22D9"/>
    <w:rsid w:val="00E01B44"/>
    <w:rsid w:val="00E31675"/>
    <w:rsid w:val="00E33560"/>
    <w:rsid w:val="00E470FB"/>
    <w:rsid w:val="00E63630"/>
    <w:rsid w:val="00E73941"/>
    <w:rsid w:val="00E8677B"/>
    <w:rsid w:val="00E87288"/>
    <w:rsid w:val="00E926E5"/>
    <w:rsid w:val="00EC353A"/>
    <w:rsid w:val="00EE4E51"/>
    <w:rsid w:val="00EE76A6"/>
    <w:rsid w:val="00EF333C"/>
    <w:rsid w:val="00EF7264"/>
    <w:rsid w:val="00F01297"/>
    <w:rsid w:val="00F01E5E"/>
    <w:rsid w:val="00F72001"/>
    <w:rsid w:val="00F94166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4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dcterms:created xsi:type="dcterms:W3CDTF">2025-01-20T10:31:00Z</dcterms:created>
  <dcterms:modified xsi:type="dcterms:W3CDTF">2025-01-22T12:59:00Z</dcterms:modified>
</cp:coreProperties>
</file>