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4F0178" w:rsidRDefault="00505E0A" w:rsidP="007E4A13">
      <w:pPr>
        <w:jc w:val="both"/>
        <w:rPr>
          <w:rFonts w:ascii="Arial" w:hAnsi="Arial" w:cs="Arial"/>
          <w:b/>
          <w:bCs/>
        </w:rPr>
      </w:pPr>
    </w:p>
    <w:p w14:paraId="2AE43ED5" w14:textId="77777777" w:rsidR="007E4A13" w:rsidRPr="004F0178" w:rsidRDefault="007E4A13" w:rsidP="007E4A13">
      <w:pPr>
        <w:jc w:val="center"/>
        <w:rPr>
          <w:rFonts w:ascii="Arial" w:hAnsi="Arial" w:cs="Arial"/>
          <w:b/>
          <w:bCs/>
          <w:u w:val="single"/>
        </w:rPr>
      </w:pPr>
    </w:p>
    <w:p w14:paraId="373A494B" w14:textId="4A0F3310" w:rsidR="00842C15" w:rsidRPr="004F0178" w:rsidRDefault="00842C15" w:rsidP="004F0178">
      <w:pPr>
        <w:jc w:val="center"/>
        <w:rPr>
          <w:rFonts w:ascii="Arial" w:hAnsi="Arial" w:cs="Arial"/>
          <w:b/>
          <w:bCs/>
          <w:color w:val="000000"/>
          <w:u w:val="single"/>
        </w:rPr>
      </w:pPr>
      <w:r w:rsidRPr="004F0178">
        <w:rPr>
          <w:rFonts w:ascii="Arial" w:hAnsi="Arial" w:cs="Arial"/>
          <w:b/>
          <w:bCs/>
          <w:color w:val="000000"/>
          <w:u w:val="single"/>
        </w:rPr>
        <w:t>Comunicato stampa</w:t>
      </w:r>
    </w:p>
    <w:p w14:paraId="20A52F10" w14:textId="77777777" w:rsidR="00842C15" w:rsidRPr="004F0178" w:rsidRDefault="00842C15" w:rsidP="004F0178">
      <w:pPr>
        <w:jc w:val="center"/>
        <w:rPr>
          <w:rFonts w:ascii="Arial" w:hAnsi="Arial" w:cs="Arial"/>
          <w:color w:val="000000"/>
        </w:rPr>
      </w:pPr>
    </w:p>
    <w:p w14:paraId="3221054A" w14:textId="6872D86D" w:rsidR="00FB2737" w:rsidRPr="004F0178" w:rsidRDefault="00B92B34" w:rsidP="004F0178">
      <w:pPr>
        <w:jc w:val="center"/>
        <w:rPr>
          <w:rFonts w:ascii="Arial" w:hAnsi="Arial" w:cs="Arial"/>
          <w:b/>
          <w:bCs/>
          <w:color w:val="000000"/>
        </w:rPr>
      </w:pPr>
      <w:r w:rsidRPr="004F0178">
        <w:rPr>
          <w:rFonts w:ascii="Arial" w:hAnsi="Arial" w:cs="Arial"/>
          <w:b/>
          <w:bCs/>
          <w:color w:val="000000"/>
        </w:rPr>
        <w:t xml:space="preserve">COMMERCIALISTI: </w:t>
      </w:r>
      <w:r w:rsidR="001E4981">
        <w:rPr>
          <w:rFonts w:ascii="Arial" w:hAnsi="Arial" w:cs="Arial"/>
          <w:b/>
          <w:bCs/>
          <w:color w:val="000000"/>
        </w:rPr>
        <w:t>FOCUS</w:t>
      </w:r>
      <w:r w:rsidR="00FB2737" w:rsidRPr="004F0178">
        <w:rPr>
          <w:rFonts w:ascii="Arial" w:hAnsi="Arial" w:cs="Arial"/>
          <w:b/>
          <w:bCs/>
          <w:color w:val="000000"/>
        </w:rPr>
        <w:t xml:space="preserve"> SU GESTIONE DEL CAPITALE CIRCOLANTE</w:t>
      </w:r>
      <w:r w:rsidR="000B23A2">
        <w:rPr>
          <w:rFonts w:ascii="Arial" w:hAnsi="Arial" w:cs="Arial"/>
          <w:b/>
          <w:bCs/>
          <w:color w:val="000000"/>
        </w:rPr>
        <w:t xml:space="preserve"> COME LEVA STRATEGICA DELL’IMPRESA</w:t>
      </w:r>
    </w:p>
    <w:p w14:paraId="65A2DF82" w14:textId="77777777" w:rsidR="00C26E76" w:rsidRPr="004F0178" w:rsidRDefault="00C26E76" w:rsidP="004F0178">
      <w:pPr>
        <w:jc w:val="center"/>
        <w:rPr>
          <w:rFonts w:ascii="Arial" w:hAnsi="Arial" w:cs="Arial"/>
          <w:b/>
          <w:bCs/>
          <w:color w:val="000000"/>
        </w:rPr>
      </w:pPr>
    </w:p>
    <w:p w14:paraId="5CD390E4" w14:textId="3E1F3D40" w:rsidR="004F0178" w:rsidRPr="007937D8" w:rsidRDefault="00BA43D8" w:rsidP="004F0178">
      <w:pPr>
        <w:jc w:val="center"/>
        <w:rPr>
          <w:rFonts w:ascii="Arial" w:hAnsi="Arial" w:cs="Arial"/>
          <w:b/>
          <w:bCs/>
          <w:color w:val="000000"/>
        </w:rPr>
      </w:pPr>
      <w:r>
        <w:rPr>
          <w:rFonts w:ascii="Arial" w:hAnsi="Arial" w:cs="Arial"/>
          <w:b/>
          <w:bCs/>
        </w:rPr>
        <w:t>C</w:t>
      </w:r>
      <w:r w:rsidRPr="00BA43D8">
        <w:rPr>
          <w:rFonts w:ascii="Arial" w:hAnsi="Arial" w:cs="Arial"/>
          <w:b/>
          <w:bCs/>
        </w:rPr>
        <w:t>on l’introduzione del Codice della Crisi</w:t>
      </w:r>
      <w:r>
        <w:rPr>
          <w:rFonts w:ascii="Arial" w:hAnsi="Arial" w:cs="Arial"/>
          <w:b/>
          <w:bCs/>
        </w:rPr>
        <w:t xml:space="preserve"> per le im</w:t>
      </w:r>
      <w:r>
        <w:rPr>
          <w:rFonts w:ascii="Arial" w:hAnsi="Arial" w:cs="Arial"/>
          <w:b/>
          <w:bCs/>
          <w:color w:val="000000"/>
        </w:rPr>
        <w:t xml:space="preserve">prese è evidente </w:t>
      </w:r>
      <w:r w:rsidR="007937D8" w:rsidRPr="007937D8">
        <w:rPr>
          <w:rFonts w:ascii="Arial" w:hAnsi="Arial" w:cs="Arial"/>
          <w:b/>
          <w:bCs/>
        </w:rPr>
        <w:t>la necessità di monitorare i flussi finanziari generati dall’attività aziendale</w:t>
      </w:r>
    </w:p>
    <w:p w14:paraId="22F69F5F" w14:textId="77777777" w:rsidR="00E448A2" w:rsidRPr="004F0178" w:rsidRDefault="00E448A2" w:rsidP="004F0178">
      <w:pPr>
        <w:jc w:val="center"/>
        <w:rPr>
          <w:rFonts w:ascii="Arial" w:hAnsi="Arial" w:cs="Arial"/>
        </w:rPr>
      </w:pPr>
    </w:p>
    <w:p w14:paraId="64B6511D" w14:textId="60AA44A0" w:rsidR="000E7227" w:rsidRPr="004F0178" w:rsidRDefault="00E448A2" w:rsidP="004F0178">
      <w:pPr>
        <w:jc w:val="both"/>
        <w:rPr>
          <w:rFonts w:ascii="Arial" w:hAnsi="Arial" w:cs="Arial"/>
        </w:rPr>
      </w:pPr>
      <w:r w:rsidRPr="004F0178">
        <w:rPr>
          <w:rFonts w:ascii="Arial" w:hAnsi="Arial" w:cs="Arial"/>
          <w:i/>
          <w:iCs/>
        </w:rPr>
        <w:t>Roma</w:t>
      </w:r>
      <w:r w:rsidR="00230686" w:rsidRPr="004F0178">
        <w:rPr>
          <w:rFonts w:ascii="Arial" w:hAnsi="Arial" w:cs="Arial"/>
          <w:i/>
          <w:iCs/>
        </w:rPr>
        <w:t>, 1</w:t>
      </w:r>
      <w:r w:rsidRPr="004F0178">
        <w:rPr>
          <w:rFonts w:ascii="Arial" w:hAnsi="Arial" w:cs="Arial"/>
          <w:i/>
          <w:iCs/>
        </w:rPr>
        <w:t>6</w:t>
      </w:r>
      <w:r w:rsidR="00230686" w:rsidRPr="004F0178">
        <w:rPr>
          <w:rFonts w:ascii="Arial" w:hAnsi="Arial" w:cs="Arial"/>
          <w:i/>
          <w:iCs/>
        </w:rPr>
        <w:t xml:space="preserve"> dicembre 2024</w:t>
      </w:r>
      <w:r w:rsidR="00230686" w:rsidRPr="004F0178">
        <w:rPr>
          <w:rFonts w:ascii="Arial" w:hAnsi="Arial" w:cs="Arial"/>
        </w:rPr>
        <w:t xml:space="preserve"> </w:t>
      </w:r>
      <w:r w:rsidR="00FB2737" w:rsidRPr="004F0178">
        <w:rPr>
          <w:rFonts w:ascii="Arial" w:hAnsi="Arial" w:cs="Arial"/>
        </w:rPr>
        <w:t>– Il Consiglio e la Fondazione Nazionale dei Commercialisti hanno pubblicato il documento “</w:t>
      </w:r>
      <w:r w:rsidR="00FB2737" w:rsidRPr="004F0178">
        <w:rPr>
          <w:rFonts w:ascii="Arial" w:hAnsi="Arial" w:cs="Arial"/>
          <w:b/>
          <w:bCs/>
        </w:rPr>
        <w:t>La gestione del capitale circolante come leva strategica nelle dinamiche finanziarie dell’impresa</w:t>
      </w:r>
      <w:r w:rsidR="00FB2737" w:rsidRPr="004F0178">
        <w:rPr>
          <w:rFonts w:ascii="Arial" w:hAnsi="Arial" w:cs="Arial"/>
        </w:rPr>
        <w:t xml:space="preserve">”, realizzato nell’ambito dell’area di delega “Finanza aziendale” del Consigliere </w:t>
      </w:r>
      <w:r w:rsidR="00FB2737" w:rsidRPr="004F0178">
        <w:rPr>
          <w:rFonts w:ascii="Arial" w:hAnsi="Arial" w:cs="Arial"/>
          <w:b/>
          <w:bCs/>
        </w:rPr>
        <w:t>Antonio Repaci</w:t>
      </w:r>
      <w:r w:rsidR="00FB2737" w:rsidRPr="004F0178">
        <w:rPr>
          <w:rFonts w:ascii="Arial" w:hAnsi="Arial" w:cs="Arial"/>
        </w:rPr>
        <w:t>.</w:t>
      </w:r>
    </w:p>
    <w:p w14:paraId="460CB1CA" w14:textId="77777777" w:rsidR="004F0178" w:rsidRPr="004F0178" w:rsidRDefault="004F0178" w:rsidP="004F0178">
      <w:pPr>
        <w:jc w:val="both"/>
        <w:rPr>
          <w:rFonts w:ascii="Arial" w:hAnsi="Arial" w:cs="Arial"/>
        </w:rPr>
      </w:pPr>
    </w:p>
    <w:p w14:paraId="6755D10B" w14:textId="59F20EB6" w:rsidR="004F0178" w:rsidRPr="004F0178" w:rsidRDefault="004F0178" w:rsidP="004F0178">
      <w:pPr>
        <w:jc w:val="both"/>
        <w:rPr>
          <w:rFonts w:ascii="Arial" w:hAnsi="Arial" w:cs="Arial"/>
        </w:rPr>
      </w:pPr>
      <w:r>
        <w:rPr>
          <w:rFonts w:ascii="Arial" w:hAnsi="Arial" w:cs="Arial"/>
        </w:rPr>
        <w:t>Il documento si inserisce in un contesto in cui, c</w:t>
      </w:r>
      <w:r w:rsidRPr="004F0178">
        <w:rPr>
          <w:rFonts w:ascii="Arial" w:hAnsi="Arial" w:cs="Arial"/>
        </w:rPr>
        <w:t>on l’introduzione del Codice della Crisi d’Impresa e dell’Insolvenza</w:t>
      </w:r>
      <w:r>
        <w:rPr>
          <w:rFonts w:ascii="Arial" w:hAnsi="Arial" w:cs="Arial"/>
        </w:rPr>
        <w:t xml:space="preserve"> (</w:t>
      </w:r>
      <w:r w:rsidRPr="004F0178">
        <w:rPr>
          <w:rFonts w:ascii="Arial" w:hAnsi="Arial" w:cs="Arial"/>
        </w:rPr>
        <w:t>d.lgs. 14/2019 e successive modifiche</w:t>
      </w:r>
      <w:r>
        <w:rPr>
          <w:rFonts w:ascii="Arial" w:hAnsi="Arial" w:cs="Arial"/>
        </w:rPr>
        <w:t>)</w:t>
      </w:r>
      <w:r w:rsidRPr="004F0178">
        <w:rPr>
          <w:rFonts w:ascii="Arial" w:hAnsi="Arial" w:cs="Arial"/>
        </w:rPr>
        <w:t xml:space="preserve">, per le imprese è diventata ancor più evidente la necessità di </w:t>
      </w:r>
      <w:r w:rsidRPr="002549D7">
        <w:rPr>
          <w:rFonts w:ascii="Arial" w:hAnsi="Arial" w:cs="Arial"/>
          <w:b/>
          <w:bCs/>
        </w:rPr>
        <w:t>monitorare i flussi finanziari generati dall’attività aziendale</w:t>
      </w:r>
      <w:r w:rsidRPr="004F0178">
        <w:rPr>
          <w:rFonts w:ascii="Arial" w:hAnsi="Arial" w:cs="Arial"/>
        </w:rPr>
        <w:t xml:space="preserve">. </w:t>
      </w:r>
      <w:r>
        <w:rPr>
          <w:rFonts w:ascii="Arial" w:hAnsi="Arial" w:cs="Arial"/>
        </w:rPr>
        <w:t>Per questo motivo, i commercialisti si sono sofferma</w:t>
      </w:r>
      <w:r w:rsidR="002549D7">
        <w:rPr>
          <w:rFonts w:ascii="Arial" w:hAnsi="Arial" w:cs="Arial"/>
        </w:rPr>
        <w:t>ti</w:t>
      </w:r>
      <w:r>
        <w:rPr>
          <w:rFonts w:ascii="Arial" w:hAnsi="Arial" w:cs="Arial"/>
        </w:rPr>
        <w:t xml:space="preserve"> </w:t>
      </w:r>
      <w:r w:rsidRPr="004F0178">
        <w:rPr>
          <w:rFonts w:ascii="Arial" w:hAnsi="Arial" w:cs="Arial"/>
        </w:rPr>
        <w:t xml:space="preserve">sulle dinamiche finanziarie delle imprese, in particolare di breve termine, focalizzando l’attenzione </w:t>
      </w:r>
      <w:r w:rsidRPr="002549D7">
        <w:rPr>
          <w:rFonts w:ascii="Arial" w:hAnsi="Arial" w:cs="Arial"/>
          <w:b/>
          <w:bCs/>
        </w:rPr>
        <w:t>sui temi della solvibilità e della gestione del capitale circolante netto</w:t>
      </w:r>
      <w:r w:rsidRPr="004F0178">
        <w:rPr>
          <w:rFonts w:ascii="Arial" w:hAnsi="Arial" w:cs="Arial"/>
        </w:rPr>
        <w:t xml:space="preserve"> (CCN). </w:t>
      </w:r>
    </w:p>
    <w:p w14:paraId="1AA6E611" w14:textId="77777777" w:rsidR="004F0178" w:rsidRPr="004F0178" w:rsidRDefault="004F0178" w:rsidP="004F0178">
      <w:pPr>
        <w:jc w:val="both"/>
        <w:rPr>
          <w:rFonts w:ascii="Arial" w:hAnsi="Arial" w:cs="Arial"/>
        </w:rPr>
      </w:pPr>
    </w:p>
    <w:p w14:paraId="62417BF8" w14:textId="493B6196" w:rsidR="004F0178" w:rsidRPr="004F0178" w:rsidRDefault="004F0178" w:rsidP="004F0178">
      <w:pPr>
        <w:jc w:val="both"/>
        <w:rPr>
          <w:rFonts w:ascii="Arial" w:hAnsi="Arial" w:cs="Arial"/>
        </w:rPr>
      </w:pPr>
      <w:r w:rsidRPr="004F0178">
        <w:rPr>
          <w:rFonts w:ascii="Arial" w:hAnsi="Arial" w:cs="Arial"/>
        </w:rPr>
        <w:t>Il C</w:t>
      </w:r>
      <w:r>
        <w:rPr>
          <w:rFonts w:ascii="Arial" w:hAnsi="Arial" w:cs="Arial"/>
        </w:rPr>
        <w:t>CN</w:t>
      </w:r>
      <w:r w:rsidR="002549D7">
        <w:rPr>
          <w:rFonts w:ascii="Arial" w:hAnsi="Arial" w:cs="Arial"/>
        </w:rPr>
        <w:t xml:space="preserve"> può rappresentare</w:t>
      </w:r>
      <w:r w:rsidRPr="004F0178">
        <w:rPr>
          <w:rFonts w:ascii="Arial" w:hAnsi="Arial" w:cs="Arial"/>
        </w:rPr>
        <w:t xml:space="preserve"> per una realtà aziendale un “impiego” che molto spesso </w:t>
      </w:r>
      <w:r w:rsidRPr="002549D7">
        <w:rPr>
          <w:rFonts w:ascii="Arial" w:hAnsi="Arial" w:cs="Arial"/>
          <w:b/>
          <w:bCs/>
        </w:rPr>
        <w:t>assorbe risorse finanziarie in maniera significativa</w:t>
      </w:r>
      <w:r w:rsidRPr="004F0178">
        <w:rPr>
          <w:rFonts w:ascii="Arial" w:hAnsi="Arial" w:cs="Arial"/>
        </w:rPr>
        <w:t xml:space="preserve">, a causa di un aumento dei crediti e delle scorte di magazzino e/o delle estinzioni dei debiti a breve. Se ben gestito, invece, la variabile CCN può costituire </w:t>
      </w:r>
      <w:r w:rsidRPr="002549D7">
        <w:rPr>
          <w:rFonts w:ascii="Arial" w:hAnsi="Arial" w:cs="Arial"/>
          <w:b/>
          <w:bCs/>
        </w:rPr>
        <w:t>una leva che favorisce l’interazione tra la gestione economica e quella finanziaria</w:t>
      </w:r>
      <w:r w:rsidRPr="004F0178">
        <w:rPr>
          <w:rFonts w:ascii="Arial" w:hAnsi="Arial" w:cs="Arial"/>
        </w:rPr>
        <w:t>, val</w:t>
      </w:r>
      <w:r>
        <w:rPr>
          <w:rFonts w:ascii="Arial" w:hAnsi="Arial" w:cs="Arial"/>
        </w:rPr>
        <w:t>e a</w:t>
      </w:r>
      <w:r w:rsidRPr="004F0178">
        <w:rPr>
          <w:rFonts w:ascii="Arial" w:hAnsi="Arial" w:cs="Arial"/>
        </w:rPr>
        <w:t xml:space="preserve"> dire tra il circuito operativo relativo all’acquisto, </w:t>
      </w:r>
      <w:r>
        <w:rPr>
          <w:rFonts w:ascii="Arial" w:hAnsi="Arial" w:cs="Arial"/>
        </w:rPr>
        <w:t xml:space="preserve">alla </w:t>
      </w:r>
      <w:r w:rsidRPr="004F0178">
        <w:rPr>
          <w:rFonts w:ascii="Arial" w:hAnsi="Arial" w:cs="Arial"/>
        </w:rPr>
        <w:t xml:space="preserve">trasformazione e </w:t>
      </w:r>
      <w:r>
        <w:rPr>
          <w:rFonts w:ascii="Arial" w:hAnsi="Arial" w:cs="Arial"/>
        </w:rPr>
        <w:t xml:space="preserve">alla </w:t>
      </w:r>
      <w:r w:rsidRPr="004F0178">
        <w:rPr>
          <w:rFonts w:ascii="Arial" w:hAnsi="Arial" w:cs="Arial"/>
        </w:rPr>
        <w:t>vendita e quello monetario</w:t>
      </w:r>
      <w:r>
        <w:rPr>
          <w:rFonts w:ascii="Arial" w:hAnsi="Arial" w:cs="Arial"/>
        </w:rPr>
        <w:t>,</w:t>
      </w:r>
      <w:r w:rsidRPr="004F0178">
        <w:rPr>
          <w:rFonts w:ascii="Arial" w:hAnsi="Arial" w:cs="Arial"/>
        </w:rPr>
        <w:t xml:space="preserve"> indispensabile per fronteggiare gli impegni finanziari.</w:t>
      </w:r>
    </w:p>
    <w:p w14:paraId="73C25BBD" w14:textId="77777777" w:rsidR="004F0178" w:rsidRPr="004F0178" w:rsidRDefault="004F0178" w:rsidP="004F0178">
      <w:pPr>
        <w:jc w:val="both"/>
        <w:rPr>
          <w:rFonts w:ascii="Arial" w:hAnsi="Arial" w:cs="Arial"/>
        </w:rPr>
      </w:pPr>
    </w:p>
    <w:p w14:paraId="053DC54B" w14:textId="217C7AC8" w:rsidR="004F0178" w:rsidRPr="004F0178" w:rsidRDefault="004F0178" w:rsidP="004F0178">
      <w:pPr>
        <w:jc w:val="both"/>
        <w:rPr>
          <w:rFonts w:ascii="Arial" w:hAnsi="Arial" w:cs="Arial"/>
        </w:rPr>
      </w:pPr>
      <w:r w:rsidRPr="004F0178">
        <w:rPr>
          <w:rFonts w:ascii="Arial" w:hAnsi="Arial" w:cs="Arial"/>
        </w:rPr>
        <w:t xml:space="preserve">Questo è il motivo per cui occorre </w:t>
      </w:r>
      <w:r w:rsidRPr="002549D7">
        <w:rPr>
          <w:rFonts w:ascii="Arial" w:hAnsi="Arial" w:cs="Arial"/>
          <w:b/>
          <w:bCs/>
        </w:rPr>
        <w:t>avviare</w:t>
      </w:r>
      <w:r w:rsidR="002549D7" w:rsidRPr="002549D7">
        <w:rPr>
          <w:rFonts w:ascii="Arial" w:hAnsi="Arial" w:cs="Arial"/>
          <w:b/>
          <w:bCs/>
        </w:rPr>
        <w:t xml:space="preserve"> una serie di indagini</w:t>
      </w:r>
      <w:r w:rsidRPr="004F0178">
        <w:rPr>
          <w:rFonts w:ascii="Arial" w:hAnsi="Arial" w:cs="Arial"/>
        </w:rPr>
        <w:t xml:space="preserve">, sia a livello direzionale che a livello amministrativo, </w:t>
      </w:r>
      <w:r w:rsidR="002549D7">
        <w:rPr>
          <w:rFonts w:ascii="Arial" w:hAnsi="Arial" w:cs="Arial"/>
        </w:rPr>
        <w:t xml:space="preserve">per </w:t>
      </w:r>
      <w:r w:rsidRPr="004F0178">
        <w:rPr>
          <w:rFonts w:ascii="Arial" w:hAnsi="Arial" w:cs="Arial"/>
        </w:rPr>
        <w:t xml:space="preserve">poter meglio controllare e analizzare il capitale circolante netto e le sue dinamiche al fine di </w:t>
      </w:r>
      <w:r w:rsidRPr="002549D7">
        <w:rPr>
          <w:rFonts w:ascii="Arial" w:hAnsi="Arial" w:cs="Arial"/>
          <w:b/>
          <w:bCs/>
        </w:rPr>
        <w:t>intercettare qualunque segnale che possa influire sulla solvibilità dell’impresa</w:t>
      </w:r>
      <w:r w:rsidRPr="004F0178">
        <w:rPr>
          <w:rFonts w:ascii="Arial" w:hAnsi="Arial" w:cs="Arial"/>
        </w:rPr>
        <w:t xml:space="preserve">, scongiurando qualsiasi forma di insolvenza irreversibile. </w:t>
      </w:r>
    </w:p>
    <w:p w14:paraId="616D09B9" w14:textId="77777777" w:rsidR="004F0178" w:rsidRPr="004F0178" w:rsidRDefault="004F0178" w:rsidP="004F0178">
      <w:pPr>
        <w:jc w:val="both"/>
        <w:rPr>
          <w:rFonts w:ascii="Arial" w:hAnsi="Arial" w:cs="Arial"/>
        </w:rPr>
      </w:pPr>
    </w:p>
    <w:p w14:paraId="2DC68CD0" w14:textId="3BAB7252" w:rsidR="004F0178" w:rsidRPr="004F0178" w:rsidRDefault="004F0178" w:rsidP="004F0178">
      <w:pPr>
        <w:jc w:val="both"/>
        <w:rPr>
          <w:rFonts w:ascii="Arial" w:hAnsi="Arial" w:cs="Arial"/>
        </w:rPr>
      </w:pPr>
      <w:r w:rsidRPr="004F0178">
        <w:rPr>
          <w:rFonts w:ascii="Arial" w:hAnsi="Arial" w:cs="Arial"/>
        </w:rPr>
        <w:t>Dopo una breve disamina sulla portata informativa relativa ai risultati intermedi reddituali quale fonte per la produzione dei flussi finanziari, il documento si sofferma sulle principali voci del capitale circolante netto</w:t>
      </w:r>
      <w:r>
        <w:rPr>
          <w:rFonts w:ascii="Arial" w:hAnsi="Arial" w:cs="Arial"/>
        </w:rPr>
        <w:t>,</w:t>
      </w:r>
      <w:r w:rsidRPr="004F0178">
        <w:rPr>
          <w:rFonts w:ascii="Arial" w:hAnsi="Arial" w:cs="Arial"/>
        </w:rPr>
        <w:t xml:space="preserve"> delineando </w:t>
      </w:r>
      <w:r w:rsidRPr="002549D7">
        <w:rPr>
          <w:rFonts w:ascii="Arial" w:hAnsi="Arial" w:cs="Arial"/>
          <w:b/>
          <w:bCs/>
        </w:rPr>
        <w:t>tre differenti configurazioni</w:t>
      </w:r>
      <w:r w:rsidRPr="004F0178">
        <w:rPr>
          <w:rFonts w:ascii="Arial" w:hAnsi="Arial" w:cs="Arial"/>
        </w:rPr>
        <w:t xml:space="preserve">: </w:t>
      </w:r>
      <w:r w:rsidRPr="002549D7">
        <w:rPr>
          <w:rFonts w:ascii="Arial" w:hAnsi="Arial" w:cs="Arial"/>
          <w:b/>
          <w:bCs/>
        </w:rPr>
        <w:t>commerciale, operativo e finanziario</w:t>
      </w:r>
      <w:r w:rsidRPr="004F0178">
        <w:rPr>
          <w:rFonts w:ascii="Arial" w:hAnsi="Arial" w:cs="Arial"/>
        </w:rPr>
        <w:t xml:space="preserve">. </w:t>
      </w:r>
    </w:p>
    <w:p w14:paraId="14690900" w14:textId="0C9C56B0" w:rsidR="00A9564E" w:rsidRPr="004F0178" w:rsidRDefault="00A9564E" w:rsidP="004F0178">
      <w:pPr>
        <w:jc w:val="both"/>
        <w:rPr>
          <w:rFonts w:ascii="Arial" w:hAnsi="Arial" w:cs="Arial"/>
          <w:b/>
          <w:bCs/>
          <w:color w:val="FF0000"/>
          <w:sz w:val="23"/>
          <w:szCs w:val="23"/>
        </w:rPr>
      </w:pPr>
    </w:p>
    <w:sectPr w:rsidR="00A9564E" w:rsidRPr="004F017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B5BAA" w14:textId="77777777" w:rsidR="00BE06DF" w:rsidRDefault="00BE06DF" w:rsidP="008A20F9">
      <w:r>
        <w:separator/>
      </w:r>
    </w:p>
  </w:endnote>
  <w:endnote w:type="continuationSeparator" w:id="0">
    <w:p w14:paraId="1C2B170B" w14:textId="77777777" w:rsidR="00BE06DF" w:rsidRDefault="00BE06DF"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18D8" w14:textId="77777777" w:rsidR="00BE06DF" w:rsidRDefault="00BE06DF" w:rsidP="008A20F9">
      <w:r>
        <w:separator/>
      </w:r>
    </w:p>
  </w:footnote>
  <w:footnote w:type="continuationSeparator" w:id="0">
    <w:p w14:paraId="375F888A" w14:textId="77777777" w:rsidR="00BE06DF" w:rsidRDefault="00BE06DF"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6F2"/>
    <w:rsid w:val="00081979"/>
    <w:rsid w:val="00082A9D"/>
    <w:rsid w:val="000A7CC9"/>
    <w:rsid w:val="000B23A2"/>
    <w:rsid w:val="000D27AC"/>
    <w:rsid w:val="000E5CC8"/>
    <w:rsid w:val="000E66F1"/>
    <w:rsid w:val="000E7227"/>
    <w:rsid w:val="000F3B82"/>
    <w:rsid w:val="00115409"/>
    <w:rsid w:val="00123117"/>
    <w:rsid w:val="001326DC"/>
    <w:rsid w:val="001569C4"/>
    <w:rsid w:val="00184C9B"/>
    <w:rsid w:val="001936AE"/>
    <w:rsid w:val="00193ECA"/>
    <w:rsid w:val="001E4981"/>
    <w:rsid w:val="001F164F"/>
    <w:rsid w:val="00205A97"/>
    <w:rsid w:val="00213E08"/>
    <w:rsid w:val="00230686"/>
    <w:rsid w:val="002330A2"/>
    <w:rsid w:val="00246A14"/>
    <w:rsid w:val="002509B2"/>
    <w:rsid w:val="00251068"/>
    <w:rsid w:val="00251F37"/>
    <w:rsid w:val="00253393"/>
    <w:rsid w:val="00253551"/>
    <w:rsid w:val="002549D7"/>
    <w:rsid w:val="00257A6F"/>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B03D3"/>
    <w:rsid w:val="004E125E"/>
    <w:rsid w:val="004E232F"/>
    <w:rsid w:val="004F0178"/>
    <w:rsid w:val="005043FB"/>
    <w:rsid w:val="00505E0A"/>
    <w:rsid w:val="00517A64"/>
    <w:rsid w:val="00524C36"/>
    <w:rsid w:val="00560379"/>
    <w:rsid w:val="00582A23"/>
    <w:rsid w:val="005839A6"/>
    <w:rsid w:val="005948DF"/>
    <w:rsid w:val="00594B66"/>
    <w:rsid w:val="005A1CDB"/>
    <w:rsid w:val="005D113A"/>
    <w:rsid w:val="0061470B"/>
    <w:rsid w:val="00616738"/>
    <w:rsid w:val="0063007C"/>
    <w:rsid w:val="006359F9"/>
    <w:rsid w:val="006368B3"/>
    <w:rsid w:val="006406DF"/>
    <w:rsid w:val="0067508F"/>
    <w:rsid w:val="00675625"/>
    <w:rsid w:val="006A3700"/>
    <w:rsid w:val="006D7DB0"/>
    <w:rsid w:val="00730088"/>
    <w:rsid w:val="007353A0"/>
    <w:rsid w:val="00737AB1"/>
    <w:rsid w:val="00750C0F"/>
    <w:rsid w:val="00775165"/>
    <w:rsid w:val="0079253B"/>
    <w:rsid w:val="007937D8"/>
    <w:rsid w:val="007C0DA7"/>
    <w:rsid w:val="007D3A62"/>
    <w:rsid w:val="007E0C83"/>
    <w:rsid w:val="007E4A13"/>
    <w:rsid w:val="007F6A8D"/>
    <w:rsid w:val="0080260A"/>
    <w:rsid w:val="00812A1C"/>
    <w:rsid w:val="00842C15"/>
    <w:rsid w:val="008435D3"/>
    <w:rsid w:val="00877509"/>
    <w:rsid w:val="00881569"/>
    <w:rsid w:val="008A20F9"/>
    <w:rsid w:val="008A68AA"/>
    <w:rsid w:val="008B36DC"/>
    <w:rsid w:val="008B5892"/>
    <w:rsid w:val="008E6D2A"/>
    <w:rsid w:val="00911316"/>
    <w:rsid w:val="00920E92"/>
    <w:rsid w:val="00960DAA"/>
    <w:rsid w:val="00976B3F"/>
    <w:rsid w:val="009B029E"/>
    <w:rsid w:val="009B69D9"/>
    <w:rsid w:val="009C023F"/>
    <w:rsid w:val="009D653E"/>
    <w:rsid w:val="009D65D1"/>
    <w:rsid w:val="009D7B64"/>
    <w:rsid w:val="009D7DF7"/>
    <w:rsid w:val="009E7612"/>
    <w:rsid w:val="009F3790"/>
    <w:rsid w:val="00A02CDA"/>
    <w:rsid w:val="00A21A98"/>
    <w:rsid w:val="00A27EC8"/>
    <w:rsid w:val="00A75A96"/>
    <w:rsid w:val="00A83ACB"/>
    <w:rsid w:val="00A87349"/>
    <w:rsid w:val="00A9564E"/>
    <w:rsid w:val="00A961CD"/>
    <w:rsid w:val="00AB3193"/>
    <w:rsid w:val="00AB51FE"/>
    <w:rsid w:val="00AD683B"/>
    <w:rsid w:val="00AE5C47"/>
    <w:rsid w:val="00AF496D"/>
    <w:rsid w:val="00B22B36"/>
    <w:rsid w:val="00B34431"/>
    <w:rsid w:val="00B622FF"/>
    <w:rsid w:val="00B81758"/>
    <w:rsid w:val="00B92B34"/>
    <w:rsid w:val="00BA43D8"/>
    <w:rsid w:val="00BD752B"/>
    <w:rsid w:val="00BE06DF"/>
    <w:rsid w:val="00BE6B22"/>
    <w:rsid w:val="00C26E76"/>
    <w:rsid w:val="00C32D04"/>
    <w:rsid w:val="00C54A7A"/>
    <w:rsid w:val="00C653DB"/>
    <w:rsid w:val="00C71E02"/>
    <w:rsid w:val="00C751BF"/>
    <w:rsid w:val="00C8258D"/>
    <w:rsid w:val="00C93E34"/>
    <w:rsid w:val="00CC5721"/>
    <w:rsid w:val="00CC7EBC"/>
    <w:rsid w:val="00CD6241"/>
    <w:rsid w:val="00CD785A"/>
    <w:rsid w:val="00D4253F"/>
    <w:rsid w:val="00D52088"/>
    <w:rsid w:val="00D66040"/>
    <w:rsid w:val="00DA19F5"/>
    <w:rsid w:val="00DC26A1"/>
    <w:rsid w:val="00DC7953"/>
    <w:rsid w:val="00DD42BD"/>
    <w:rsid w:val="00DD4CF8"/>
    <w:rsid w:val="00DE22D9"/>
    <w:rsid w:val="00E01B44"/>
    <w:rsid w:val="00E31675"/>
    <w:rsid w:val="00E33560"/>
    <w:rsid w:val="00E448A2"/>
    <w:rsid w:val="00E63630"/>
    <w:rsid w:val="00E73941"/>
    <w:rsid w:val="00E8677B"/>
    <w:rsid w:val="00E87288"/>
    <w:rsid w:val="00E926E5"/>
    <w:rsid w:val="00EC353A"/>
    <w:rsid w:val="00EE4E51"/>
    <w:rsid w:val="00EE76A6"/>
    <w:rsid w:val="00EF333C"/>
    <w:rsid w:val="00EF7264"/>
    <w:rsid w:val="00F01297"/>
    <w:rsid w:val="00F01E5E"/>
    <w:rsid w:val="00F72001"/>
    <w:rsid w:val="00F94166"/>
    <w:rsid w:val="00FB2737"/>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7092">
      <w:bodyDiv w:val="1"/>
      <w:marLeft w:val="0"/>
      <w:marRight w:val="0"/>
      <w:marTop w:val="0"/>
      <w:marBottom w:val="0"/>
      <w:divBdr>
        <w:top w:val="none" w:sz="0" w:space="0" w:color="auto"/>
        <w:left w:val="none" w:sz="0" w:space="0" w:color="auto"/>
        <w:bottom w:val="none" w:sz="0" w:space="0" w:color="auto"/>
        <w:right w:val="none" w:sz="0" w:space="0" w:color="auto"/>
      </w:divBdr>
    </w:div>
    <w:div w:id="272591186">
      <w:bodyDiv w:val="1"/>
      <w:marLeft w:val="0"/>
      <w:marRight w:val="0"/>
      <w:marTop w:val="0"/>
      <w:marBottom w:val="0"/>
      <w:divBdr>
        <w:top w:val="none" w:sz="0" w:space="0" w:color="auto"/>
        <w:left w:val="none" w:sz="0" w:space="0" w:color="auto"/>
        <w:bottom w:val="none" w:sz="0" w:space="0" w:color="auto"/>
        <w:right w:val="none" w:sz="0" w:space="0" w:color="auto"/>
      </w:divBdr>
    </w:div>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425152219">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46574135">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22</cp:revision>
  <dcterms:created xsi:type="dcterms:W3CDTF">2024-12-11T11:24:00Z</dcterms:created>
  <dcterms:modified xsi:type="dcterms:W3CDTF">2024-12-16T12:42:00Z</dcterms:modified>
</cp:coreProperties>
</file>