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3B14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24EA5" w14:textId="78F2665F" w:rsidR="00FB0E6A" w:rsidRDefault="00FB0E6A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8F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7694B56D" w14:textId="77777777" w:rsidR="00541CDC" w:rsidRPr="00F01CE2" w:rsidRDefault="00541CDC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64136BD" w14:textId="55533CF9" w:rsidR="0077172C" w:rsidRPr="005F7310" w:rsidRDefault="00CE49B2" w:rsidP="005F7310">
      <w:pPr>
        <w:shd w:val="clear" w:color="auto" w:fill="FFFFFF"/>
        <w:spacing w:before="120" w:after="120" w:line="300" w:lineRule="auto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</w:pPr>
      <w:bookmarkStart w:id="0" w:name="_Hlk184136149"/>
      <w:r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FISCO, COMMERCIALISTI: “GRANDE SODDISFAZIONE PER VIA LIBERA A NORMA SU AGGREGAZIONI”</w:t>
      </w:r>
    </w:p>
    <w:bookmarkEnd w:id="0"/>
    <w:p w14:paraId="00125E32" w14:textId="06C1B6F0" w:rsidR="0077172C" w:rsidRDefault="0077172C" w:rsidP="005F7310">
      <w:pPr>
        <w:shd w:val="clear" w:color="auto" w:fill="FFFFFF"/>
        <w:spacing w:before="120" w:after="120" w:line="300" w:lineRule="auto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</w:pPr>
      <w:r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De Nuccio 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sul decreto Irpef</w:t>
      </w:r>
      <w:r w:rsidR="008464E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-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Ires: “Approvata la nostra proposta sulla neutralità fiscale</w:t>
      </w:r>
      <w:r w:rsidR="008464E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”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. </w:t>
      </w:r>
      <w:r w:rsidR="008464E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Regalbuto: “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Una grande spinta al rafforzamento del sistema professionale”</w:t>
      </w:r>
    </w:p>
    <w:p w14:paraId="52979E74" w14:textId="77777777" w:rsidR="005F7310" w:rsidRPr="005F7310" w:rsidRDefault="005F7310" w:rsidP="005F7310">
      <w:pPr>
        <w:shd w:val="clear" w:color="auto" w:fill="FFFFFF"/>
        <w:spacing w:before="120" w:after="120" w:line="300" w:lineRule="auto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</w:pPr>
    </w:p>
    <w:p w14:paraId="4B767E45" w14:textId="55D892CA" w:rsidR="00402CF5" w:rsidRDefault="008464EC" w:rsidP="005F7310">
      <w:pPr>
        <w:shd w:val="clear" w:color="auto" w:fill="FFFFFF"/>
        <w:spacing w:before="120" w:after="120" w:line="30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it-IT"/>
        </w:rPr>
        <w:t xml:space="preserve">Roma, </w:t>
      </w:r>
      <w:r w:rsidR="00A93C3D" w:rsidRPr="005F7310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it-IT"/>
        </w:rPr>
        <w:t>3 dicembre 2024 –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“Il Consiglio nazionale dei commercialisti esprime grande soddisfazione per l’approvazione da parte del Consiglio dei ministri del 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decreto Irpef</w:t>
      </w:r>
      <w: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-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Ires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che </w:t>
      </w:r>
      <w:r w:rsidR="00A93C3D" w:rsidRPr="0077172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introd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uce</w:t>
      </w:r>
      <w:r w:rsidR="00A93C3D" w:rsidRPr="0077172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la possibilità per gli </w:t>
      </w:r>
      <w:r w:rsidR="00A93C3D" w:rsidRPr="0077172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studi professionali</w:t>
      </w:r>
      <w:r w:rsidR="00A93C3D" w:rsidRPr="0077172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di </w:t>
      </w:r>
      <w:r w:rsidR="00A93C3D" w:rsidRPr="0077172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aggregarsi</w:t>
      </w:r>
      <w:r w:rsidR="00A93C3D" w:rsidRPr="0077172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in regime di </w:t>
      </w:r>
      <w:r w:rsidR="00A93C3D" w:rsidRPr="0077172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neutralità fiscale</w:t>
      </w:r>
      <w:r w:rsidR="00A93C3D" w:rsidRPr="0077172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. 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Si tratta di una 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nostra proposta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per la cui approvazione ci battiamo da anni e per il cui accoglimento ringraziamo il Viceministro </w:t>
      </w:r>
      <w:r w:rsidR="00A93C3D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Maurizio Leo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, come sempre 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disponibile a confrontarsi con noi sulle istanze dei commercialisti italiani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”. 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È</w:t>
      </w:r>
      <w:r w:rsidR="00A93C3D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quanto afferma il presidente nazionale della categoria, Elbano de Nuccio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. “La misura che rende neutrali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 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i processi di riorganizzazione degli studi professionali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 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è un 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traguardo storico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 da accogliere</w:t>
      </w:r>
      <w:r w:rsidR="001A1E5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con 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estrema soddisfazione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 in quanto viene rimosso un 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ostacolo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che non aveva ragion d’essere</w:t>
      </w:r>
      <w:r w:rsidR="00402CF5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”, spiega il numero uno dei commercialisti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.</w:t>
      </w:r>
    </w:p>
    <w:p w14:paraId="110DFFAA" w14:textId="2AA2BA74" w:rsidR="00AD01DB" w:rsidRDefault="00402CF5" w:rsidP="005F7310">
      <w:pPr>
        <w:shd w:val="clear" w:color="auto" w:fill="FFFFFF"/>
        <w:spacing w:before="120" w:after="120" w:line="30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“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D’ora in avanti </w:t>
      </w: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– aggiunge il tesoriere e consigliere nazionale delegato alla fiscalità, </w:t>
      </w:r>
      <w:r w:rsidRPr="00402CF5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Salvatore Regalbuto</w:t>
      </w: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</w:t>
      </w:r>
      <w:r w:rsidR="00CE49B2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–</w:t>
      </w: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saranno facilitati i 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percorsi aggregativi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, anche multidisciplinari, indispensabili per creare strutture che sappiano meglio intercettare le esigenze del mercato. Una norma utile non solo alla nostra categoria</w:t>
      </w:r>
      <w:r w:rsidR="008464E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,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 ma all’intero settore della consulenza professionale determinante per il sistema economico, che necessita di strutture 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dimensionalmente </w:t>
      </w:r>
      <w:r w:rsidR="005F7310" w:rsidRPr="00402CF5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più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 significative </w:t>
      </w:r>
      <w:r w:rsidR="005F7310" w:rsidRPr="00402CF5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>e meglio</w:t>
      </w:r>
      <w:r w:rsidR="005F7310" w:rsidRPr="005F731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it-IT"/>
        </w:rPr>
        <w:t>organizzate</w:t>
      </w:r>
      <w:r w:rsidR="005F7310" w:rsidRPr="005F7310"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  <w:t xml:space="preserve">”. </w:t>
      </w:r>
    </w:p>
    <w:p w14:paraId="7EA864F3" w14:textId="77777777" w:rsidR="00402CF5" w:rsidRPr="005F7310" w:rsidRDefault="00402CF5" w:rsidP="005F7310">
      <w:pPr>
        <w:shd w:val="clear" w:color="auto" w:fill="FFFFFF"/>
        <w:spacing w:before="120" w:after="120" w:line="30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it-IT"/>
        </w:rPr>
      </w:pPr>
    </w:p>
    <w:sectPr w:rsidR="00402CF5" w:rsidRPr="005F731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89C5" w14:textId="77777777" w:rsidR="00932D3D" w:rsidRDefault="00932D3D" w:rsidP="00FA7C3B">
      <w:pPr>
        <w:spacing w:after="0" w:line="240" w:lineRule="auto"/>
      </w:pPr>
      <w:r>
        <w:separator/>
      </w:r>
    </w:p>
  </w:endnote>
  <w:endnote w:type="continuationSeparator" w:id="0">
    <w:p w14:paraId="4CA9942C" w14:textId="77777777" w:rsidR="00932D3D" w:rsidRDefault="00932D3D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4180" w14:textId="77777777" w:rsidR="00932D3D" w:rsidRDefault="00932D3D" w:rsidP="00FA7C3B">
      <w:pPr>
        <w:spacing w:after="0" w:line="240" w:lineRule="auto"/>
      </w:pPr>
      <w:r>
        <w:separator/>
      </w:r>
    </w:p>
  </w:footnote>
  <w:footnote w:type="continuationSeparator" w:id="0">
    <w:p w14:paraId="274337FE" w14:textId="77777777" w:rsidR="00932D3D" w:rsidRDefault="00932D3D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480071325" name="Immagine 480071325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CC5"/>
    <w:multiLevelType w:val="hybridMultilevel"/>
    <w:tmpl w:val="42820750"/>
    <w:lvl w:ilvl="0" w:tplc="611E4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3C3C62"/>
    <w:multiLevelType w:val="hybridMultilevel"/>
    <w:tmpl w:val="C4F68AC2"/>
    <w:lvl w:ilvl="0" w:tplc="280CB3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796D72"/>
    <w:multiLevelType w:val="hybridMultilevel"/>
    <w:tmpl w:val="2376E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16C8"/>
    <w:multiLevelType w:val="hybridMultilevel"/>
    <w:tmpl w:val="264EC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62250">
    <w:abstractNumId w:val="0"/>
  </w:num>
  <w:num w:numId="2" w16cid:durableId="1027826814">
    <w:abstractNumId w:val="1"/>
  </w:num>
  <w:num w:numId="3" w16cid:durableId="1810826256">
    <w:abstractNumId w:val="3"/>
  </w:num>
  <w:num w:numId="4" w16cid:durableId="93101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1592F"/>
    <w:rsid w:val="00036C82"/>
    <w:rsid w:val="000428F4"/>
    <w:rsid w:val="00045A05"/>
    <w:rsid w:val="00050FAD"/>
    <w:rsid w:val="0006185E"/>
    <w:rsid w:val="000643B6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D65F7"/>
    <w:rsid w:val="000E643D"/>
    <w:rsid w:val="000E76EF"/>
    <w:rsid w:val="000F4DE4"/>
    <w:rsid w:val="001005D3"/>
    <w:rsid w:val="00115DDD"/>
    <w:rsid w:val="00121F76"/>
    <w:rsid w:val="00127444"/>
    <w:rsid w:val="001418EF"/>
    <w:rsid w:val="00145010"/>
    <w:rsid w:val="00145300"/>
    <w:rsid w:val="00147A1E"/>
    <w:rsid w:val="001508CB"/>
    <w:rsid w:val="0015573D"/>
    <w:rsid w:val="001670BB"/>
    <w:rsid w:val="00177E8E"/>
    <w:rsid w:val="0018149B"/>
    <w:rsid w:val="00184380"/>
    <w:rsid w:val="00186BE6"/>
    <w:rsid w:val="0019204F"/>
    <w:rsid w:val="00193AD8"/>
    <w:rsid w:val="001945E8"/>
    <w:rsid w:val="001A1E5E"/>
    <w:rsid w:val="001A6E4C"/>
    <w:rsid w:val="001B2141"/>
    <w:rsid w:val="001B7AA1"/>
    <w:rsid w:val="001C59DF"/>
    <w:rsid w:val="001F46B1"/>
    <w:rsid w:val="00211C03"/>
    <w:rsid w:val="0021412F"/>
    <w:rsid w:val="00214C72"/>
    <w:rsid w:val="00236F8F"/>
    <w:rsid w:val="002457A0"/>
    <w:rsid w:val="00245C2C"/>
    <w:rsid w:val="00247422"/>
    <w:rsid w:val="00247F96"/>
    <w:rsid w:val="00251A4D"/>
    <w:rsid w:val="002628AC"/>
    <w:rsid w:val="00270454"/>
    <w:rsid w:val="0027090B"/>
    <w:rsid w:val="002726AF"/>
    <w:rsid w:val="002820C4"/>
    <w:rsid w:val="00292202"/>
    <w:rsid w:val="002A0707"/>
    <w:rsid w:val="002C06CE"/>
    <w:rsid w:val="002C4886"/>
    <w:rsid w:val="002D0EAF"/>
    <w:rsid w:val="002D31D3"/>
    <w:rsid w:val="002D5278"/>
    <w:rsid w:val="002D78A5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E2840"/>
    <w:rsid w:val="003F28BF"/>
    <w:rsid w:val="00402671"/>
    <w:rsid w:val="00402CF5"/>
    <w:rsid w:val="004038EE"/>
    <w:rsid w:val="00411FF0"/>
    <w:rsid w:val="00420744"/>
    <w:rsid w:val="00424549"/>
    <w:rsid w:val="00425DC5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E180B"/>
    <w:rsid w:val="004F10F1"/>
    <w:rsid w:val="004F3472"/>
    <w:rsid w:val="004F59F7"/>
    <w:rsid w:val="00505B70"/>
    <w:rsid w:val="00527058"/>
    <w:rsid w:val="00535C9D"/>
    <w:rsid w:val="00541CDC"/>
    <w:rsid w:val="00544CC8"/>
    <w:rsid w:val="00551447"/>
    <w:rsid w:val="0055763C"/>
    <w:rsid w:val="00560958"/>
    <w:rsid w:val="00564415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5F7310"/>
    <w:rsid w:val="006209F0"/>
    <w:rsid w:val="006262E4"/>
    <w:rsid w:val="00631DEE"/>
    <w:rsid w:val="00637278"/>
    <w:rsid w:val="00637AB3"/>
    <w:rsid w:val="00646985"/>
    <w:rsid w:val="006511B2"/>
    <w:rsid w:val="006543A7"/>
    <w:rsid w:val="0066294D"/>
    <w:rsid w:val="00665046"/>
    <w:rsid w:val="00677D2B"/>
    <w:rsid w:val="00685416"/>
    <w:rsid w:val="006B3B37"/>
    <w:rsid w:val="006C70C6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172C"/>
    <w:rsid w:val="00774802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12AC"/>
    <w:rsid w:val="007C222F"/>
    <w:rsid w:val="007C3EFE"/>
    <w:rsid w:val="007C7EF6"/>
    <w:rsid w:val="007D1E0B"/>
    <w:rsid w:val="007F39F2"/>
    <w:rsid w:val="007F5437"/>
    <w:rsid w:val="007F7981"/>
    <w:rsid w:val="008227A1"/>
    <w:rsid w:val="00835753"/>
    <w:rsid w:val="008412D4"/>
    <w:rsid w:val="00841EAC"/>
    <w:rsid w:val="00842129"/>
    <w:rsid w:val="008464EC"/>
    <w:rsid w:val="00851CD4"/>
    <w:rsid w:val="00851F45"/>
    <w:rsid w:val="008577F5"/>
    <w:rsid w:val="00871774"/>
    <w:rsid w:val="00872E5C"/>
    <w:rsid w:val="00876D76"/>
    <w:rsid w:val="00897F0A"/>
    <w:rsid w:val="008A2877"/>
    <w:rsid w:val="008C2369"/>
    <w:rsid w:val="008D450D"/>
    <w:rsid w:val="008E3A73"/>
    <w:rsid w:val="008F1ED9"/>
    <w:rsid w:val="00900213"/>
    <w:rsid w:val="00913299"/>
    <w:rsid w:val="009168DE"/>
    <w:rsid w:val="00926CB7"/>
    <w:rsid w:val="00932D3D"/>
    <w:rsid w:val="00963CBF"/>
    <w:rsid w:val="00971FE6"/>
    <w:rsid w:val="00984E8F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36025"/>
    <w:rsid w:val="00A40380"/>
    <w:rsid w:val="00A51904"/>
    <w:rsid w:val="00A56135"/>
    <w:rsid w:val="00A66BEE"/>
    <w:rsid w:val="00A8268B"/>
    <w:rsid w:val="00A850A4"/>
    <w:rsid w:val="00A93C3D"/>
    <w:rsid w:val="00A955B1"/>
    <w:rsid w:val="00AC79F0"/>
    <w:rsid w:val="00AD01DB"/>
    <w:rsid w:val="00AE4A6E"/>
    <w:rsid w:val="00AF1405"/>
    <w:rsid w:val="00B01B48"/>
    <w:rsid w:val="00B25408"/>
    <w:rsid w:val="00B267EC"/>
    <w:rsid w:val="00B30083"/>
    <w:rsid w:val="00B35616"/>
    <w:rsid w:val="00B557B9"/>
    <w:rsid w:val="00B5705C"/>
    <w:rsid w:val="00B64A4F"/>
    <w:rsid w:val="00B737D0"/>
    <w:rsid w:val="00B93E30"/>
    <w:rsid w:val="00BA5102"/>
    <w:rsid w:val="00BB4442"/>
    <w:rsid w:val="00BB60EE"/>
    <w:rsid w:val="00BC6C43"/>
    <w:rsid w:val="00BD0C6D"/>
    <w:rsid w:val="00BE3C26"/>
    <w:rsid w:val="00BE4B83"/>
    <w:rsid w:val="00BF309D"/>
    <w:rsid w:val="00BF3B6B"/>
    <w:rsid w:val="00C1089D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94610"/>
    <w:rsid w:val="00CB3C1A"/>
    <w:rsid w:val="00CB5010"/>
    <w:rsid w:val="00CC3AA3"/>
    <w:rsid w:val="00CC58D5"/>
    <w:rsid w:val="00CD528A"/>
    <w:rsid w:val="00CE34EC"/>
    <w:rsid w:val="00CE49B2"/>
    <w:rsid w:val="00CE4DF8"/>
    <w:rsid w:val="00CE4F46"/>
    <w:rsid w:val="00CF59DD"/>
    <w:rsid w:val="00CF5A5A"/>
    <w:rsid w:val="00D169A2"/>
    <w:rsid w:val="00D232D5"/>
    <w:rsid w:val="00D27815"/>
    <w:rsid w:val="00D33E97"/>
    <w:rsid w:val="00D456BC"/>
    <w:rsid w:val="00D62E95"/>
    <w:rsid w:val="00D71DEB"/>
    <w:rsid w:val="00D93AAF"/>
    <w:rsid w:val="00D93E94"/>
    <w:rsid w:val="00DE0A13"/>
    <w:rsid w:val="00DE3286"/>
    <w:rsid w:val="00E00E2C"/>
    <w:rsid w:val="00E05BCA"/>
    <w:rsid w:val="00E20413"/>
    <w:rsid w:val="00E222FD"/>
    <w:rsid w:val="00E34D28"/>
    <w:rsid w:val="00E36C66"/>
    <w:rsid w:val="00E46918"/>
    <w:rsid w:val="00E64314"/>
    <w:rsid w:val="00E73117"/>
    <w:rsid w:val="00E76993"/>
    <w:rsid w:val="00E77BAD"/>
    <w:rsid w:val="00E95BB0"/>
    <w:rsid w:val="00EA53CB"/>
    <w:rsid w:val="00EE6E5C"/>
    <w:rsid w:val="00EF1FCE"/>
    <w:rsid w:val="00EF2CCC"/>
    <w:rsid w:val="00F01C01"/>
    <w:rsid w:val="00F01CE2"/>
    <w:rsid w:val="00F14C5E"/>
    <w:rsid w:val="00F25CE4"/>
    <w:rsid w:val="00F424A5"/>
    <w:rsid w:val="00F451FA"/>
    <w:rsid w:val="00F572F3"/>
    <w:rsid w:val="00F72FF4"/>
    <w:rsid w:val="00F91C53"/>
    <w:rsid w:val="00FA1F4D"/>
    <w:rsid w:val="00FA7C3B"/>
    <w:rsid w:val="00FB0E6A"/>
    <w:rsid w:val="00FC0446"/>
    <w:rsid w:val="00FC4F1F"/>
    <w:rsid w:val="00FC6A4F"/>
    <w:rsid w:val="00FD24D2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1CD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B70"/>
    <w:pPr>
      <w:spacing w:after="0" w:line="240" w:lineRule="auto"/>
      <w:jc w:val="both"/>
    </w:pPr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B70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"/>
    <w:uiPriority w:val="99"/>
    <w:unhideWhenUsed/>
    <w:rsid w:val="00505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110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820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5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0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00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918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4153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7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1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2024-12-03T15:18:00Z</dcterms:created>
  <dcterms:modified xsi:type="dcterms:W3CDTF">2024-12-03T16:00:00Z</dcterms:modified>
</cp:coreProperties>
</file>