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DD674" w14:textId="73815F40" w:rsidR="00072A06" w:rsidRPr="00475DC2" w:rsidRDefault="00072A06" w:rsidP="00991C9B">
      <w:pPr>
        <w:jc w:val="center"/>
        <w:rPr>
          <w:rFonts w:ascii="Arial" w:hAnsi="Arial" w:cs="Arial"/>
          <w:b/>
          <w:bCs/>
          <w:sz w:val="23"/>
          <w:szCs w:val="23"/>
          <w:u w:val="single"/>
        </w:rPr>
      </w:pPr>
      <w:r w:rsidRPr="00475DC2">
        <w:rPr>
          <w:rFonts w:ascii="Arial" w:hAnsi="Arial" w:cs="Arial"/>
          <w:b/>
          <w:bCs/>
          <w:sz w:val="23"/>
          <w:szCs w:val="23"/>
          <w:u w:val="single"/>
        </w:rPr>
        <w:t>Comunicato stampa</w:t>
      </w:r>
    </w:p>
    <w:p w14:paraId="35C544E8" w14:textId="77777777" w:rsidR="002B6428" w:rsidRPr="00475DC2" w:rsidRDefault="002B6428" w:rsidP="00991C9B">
      <w:pPr>
        <w:jc w:val="center"/>
        <w:rPr>
          <w:rFonts w:ascii="Arial" w:hAnsi="Arial" w:cs="Arial"/>
          <w:sz w:val="23"/>
          <w:szCs w:val="23"/>
        </w:rPr>
      </w:pPr>
    </w:p>
    <w:p w14:paraId="4C67F995" w14:textId="1E24BD15" w:rsidR="00072A06" w:rsidRPr="00475DC2" w:rsidRDefault="004B58AE" w:rsidP="00991C9B">
      <w:pPr>
        <w:jc w:val="center"/>
        <w:rPr>
          <w:rFonts w:ascii="Arial" w:hAnsi="Arial" w:cs="Arial"/>
          <w:sz w:val="23"/>
          <w:szCs w:val="23"/>
        </w:rPr>
      </w:pPr>
      <w:r w:rsidRPr="00475DC2">
        <w:rPr>
          <w:rFonts w:ascii="Arial" w:hAnsi="Arial" w:cs="Arial"/>
          <w:b/>
          <w:bCs/>
          <w:sz w:val="23"/>
          <w:szCs w:val="23"/>
        </w:rPr>
        <w:t>CPGT</w:t>
      </w:r>
      <w:r w:rsidR="00EE6063" w:rsidRPr="00475DC2">
        <w:rPr>
          <w:rFonts w:ascii="Arial" w:hAnsi="Arial" w:cs="Arial"/>
          <w:b/>
          <w:bCs/>
          <w:sz w:val="23"/>
          <w:szCs w:val="23"/>
        </w:rPr>
        <w:t>-</w:t>
      </w:r>
      <w:r w:rsidR="00072A06" w:rsidRPr="00475DC2">
        <w:rPr>
          <w:rFonts w:ascii="Arial" w:hAnsi="Arial" w:cs="Arial"/>
          <w:b/>
          <w:bCs/>
          <w:sz w:val="23"/>
          <w:szCs w:val="23"/>
        </w:rPr>
        <w:t xml:space="preserve">COMMERCIALISTI: </w:t>
      </w:r>
      <w:r w:rsidR="00EE6063" w:rsidRPr="00475DC2">
        <w:rPr>
          <w:rFonts w:ascii="Arial" w:hAnsi="Arial" w:cs="Arial"/>
          <w:b/>
          <w:bCs/>
          <w:sz w:val="23"/>
          <w:szCs w:val="23"/>
        </w:rPr>
        <w:t>PROTOCOLLO D’INTESA</w:t>
      </w:r>
      <w:r w:rsidRPr="00475DC2">
        <w:rPr>
          <w:rFonts w:ascii="Arial" w:hAnsi="Arial" w:cs="Arial"/>
          <w:b/>
          <w:bCs/>
          <w:sz w:val="23"/>
          <w:szCs w:val="23"/>
        </w:rPr>
        <w:t xml:space="preserve"> PER UNA GIUSTIZIA TRIBUTARIA SEMPRE PIÙ EFFICACE</w:t>
      </w:r>
    </w:p>
    <w:p w14:paraId="4BDEA451" w14:textId="3580FD0C" w:rsidR="00072A06" w:rsidRPr="00475DC2" w:rsidRDefault="00072A06" w:rsidP="00991C9B">
      <w:pPr>
        <w:jc w:val="center"/>
        <w:rPr>
          <w:rFonts w:ascii="Arial" w:hAnsi="Arial" w:cs="Arial"/>
          <w:sz w:val="23"/>
          <w:szCs w:val="23"/>
        </w:rPr>
      </w:pPr>
    </w:p>
    <w:p w14:paraId="6AA358FF" w14:textId="5D061821" w:rsidR="004D4F49" w:rsidRPr="00475DC2" w:rsidRDefault="004B58AE" w:rsidP="00991C9B">
      <w:pPr>
        <w:jc w:val="center"/>
        <w:rPr>
          <w:rFonts w:ascii="Arial" w:hAnsi="Arial" w:cs="Arial"/>
          <w:b/>
          <w:bCs/>
          <w:sz w:val="23"/>
          <w:szCs w:val="23"/>
        </w:rPr>
      </w:pPr>
      <w:r w:rsidRPr="00475DC2">
        <w:rPr>
          <w:rFonts w:ascii="Arial" w:hAnsi="Arial" w:cs="Arial"/>
          <w:b/>
          <w:bCs/>
          <w:sz w:val="23"/>
          <w:szCs w:val="23"/>
        </w:rPr>
        <w:t xml:space="preserve">Lo hanno firmato </w:t>
      </w:r>
      <w:r w:rsidR="002B6428" w:rsidRPr="00475DC2">
        <w:rPr>
          <w:rFonts w:ascii="Arial" w:hAnsi="Arial" w:cs="Arial"/>
          <w:b/>
          <w:bCs/>
          <w:sz w:val="23"/>
          <w:szCs w:val="23"/>
        </w:rPr>
        <w:t>ogg</w:t>
      </w:r>
      <w:r w:rsidRPr="00475DC2">
        <w:rPr>
          <w:rFonts w:ascii="Arial" w:hAnsi="Arial" w:cs="Arial"/>
          <w:b/>
          <w:bCs/>
          <w:sz w:val="23"/>
          <w:szCs w:val="23"/>
        </w:rPr>
        <w:t>i</w:t>
      </w:r>
      <w:r w:rsidR="00475DC2" w:rsidRPr="00475DC2">
        <w:rPr>
          <w:rFonts w:ascii="Arial" w:hAnsi="Arial" w:cs="Arial"/>
          <w:b/>
          <w:bCs/>
          <w:sz w:val="23"/>
          <w:szCs w:val="23"/>
        </w:rPr>
        <w:t xml:space="preserve"> i</w:t>
      </w:r>
      <w:r w:rsidRPr="00475DC2">
        <w:rPr>
          <w:rFonts w:ascii="Arial" w:hAnsi="Arial" w:cs="Arial"/>
          <w:b/>
          <w:bCs/>
          <w:sz w:val="23"/>
          <w:szCs w:val="23"/>
        </w:rPr>
        <w:t xml:space="preserve"> Presidenti Carolina Lussana (CPGT) ed Elbano de Nuccio (CNDCEC)</w:t>
      </w:r>
    </w:p>
    <w:p w14:paraId="75EF0B9F" w14:textId="1CA572EE" w:rsidR="00072A06" w:rsidRPr="00475DC2" w:rsidRDefault="00072A06" w:rsidP="00991C9B">
      <w:pPr>
        <w:jc w:val="both"/>
        <w:rPr>
          <w:rFonts w:ascii="Arial" w:hAnsi="Arial" w:cs="Arial"/>
          <w:sz w:val="23"/>
          <w:szCs w:val="23"/>
        </w:rPr>
      </w:pPr>
      <w:r w:rsidRPr="00475DC2">
        <w:rPr>
          <w:rFonts w:ascii="Arial" w:hAnsi="Arial" w:cs="Arial"/>
          <w:b/>
          <w:bCs/>
          <w:sz w:val="23"/>
          <w:szCs w:val="23"/>
        </w:rPr>
        <w:t> </w:t>
      </w:r>
    </w:p>
    <w:p w14:paraId="6987403A" w14:textId="2881D72D" w:rsidR="00D070AD" w:rsidRPr="00475DC2" w:rsidRDefault="00072A06" w:rsidP="00991C9B">
      <w:pPr>
        <w:pStyle w:val="Default"/>
        <w:jc w:val="both"/>
        <w:rPr>
          <w:color w:val="auto"/>
          <w:sz w:val="23"/>
          <w:szCs w:val="23"/>
        </w:rPr>
      </w:pPr>
      <w:r w:rsidRPr="00475DC2">
        <w:rPr>
          <w:i/>
          <w:iCs/>
          <w:color w:val="auto"/>
          <w:sz w:val="23"/>
          <w:szCs w:val="23"/>
        </w:rPr>
        <w:t xml:space="preserve">Roma, </w:t>
      </w:r>
      <w:r w:rsidR="004D4F49" w:rsidRPr="00475DC2">
        <w:rPr>
          <w:i/>
          <w:iCs/>
          <w:color w:val="auto"/>
          <w:sz w:val="23"/>
          <w:szCs w:val="23"/>
        </w:rPr>
        <w:t>2 dic</w:t>
      </w:r>
      <w:r w:rsidRPr="00475DC2">
        <w:rPr>
          <w:i/>
          <w:iCs/>
          <w:color w:val="auto"/>
          <w:sz w:val="23"/>
          <w:szCs w:val="23"/>
        </w:rPr>
        <w:t>embre 2024 –</w:t>
      </w:r>
      <w:r w:rsidRPr="00475DC2">
        <w:rPr>
          <w:color w:val="auto"/>
          <w:sz w:val="23"/>
          <w:szCs w:val="23"/>
        </w:rPr>
        <w:t> </w:t>
      </w:r>
      <w:r w:rsidR="001B5BB0" w:rsidRPr="00475DC2">
        <w:rPr>
          <w:color w:val="auto"/>
          <w:sz w:val="23"/>
          <w:szCs w:val="23"/>
        </w:rPr>
        <w:t>La Presidente del Consiglio di Presidenza della Giustizia Tributaria</w:t>
      </w:r>
      <w:r w:rsidR="004B58AE" w:rsidRPr="00475DC2">
        <w:rPr>
          <w:color w:val="auto"/>
          <w:sz w:val="23"/>
          <w:szCs w:val="23"/>
        </w:rPr>
        <w:t xml:space="preserve"> (CPGT)</w:t>
      </w:r>
      <w:r w:rsidR="001B5BB0" w:rsidRPr="00475DC2">
        <w:rPr>
          <w:color w:val="auto"/>
          <w:sz w:val="23"/>
          <w:szCs w:val="23"/>
        </w:rPr>
        <w:t xml:space="preserve">, </w:t>
      </w:r>
      <w:r w:rsidR="001B5BB0" w:rsidRPr="00475DC2">
        <w:rPr>
          <w:b/>
          <w:bCs/>
          <w:color w:val="auto"/>
          <w:sz w:val="23"/>
          <w:szCs w:val="23"/>
        </w:rPr>
        <w:t>Carolina Lussana</w:t>
      </w:r>
      <w:r w:rsidR="001B5BB0" w:rsidRPr="00475DC2">
        <w:rPr>
          <w:color w:val="auto"/>
          <w:sz w:val="23"/>
          <w:szCs w:val="23"/>
        </w:rPr>
        <w:t>, e il Presidente del Consiglio Nazionale dei Dottori Commercialisti e degli Esperti Contabili</w:t>
      </w:r>
      <w:r w:rsidR="004B58AE" w:rsidRPr="00475DC2">
        <w:rPr>
          <w:color w:val="auto"/>
          <w:sz w:val="23"/>
          <w:szCs w:val="23"/>
        </w:rPr>
        <w:t xml:space="preserve"> (CNDCEC)</w:t>
      </w:r>
      <w:r w:rsidR="001B5BB0" w:rsidRPr="00475DC2">
        <w:rPr>
          <w:color w:val="auto"/>
          <w:sz w:val="23"/>
          <w:szCs w:val="23"/>
        </w:rPr>
        <w:t xml:space="preserve">, </w:t>
      </w:r>
      <w:r w:rsidR="001B5BB0" w:rsidRPr="00475DC2">
        <w:rPr>
          <w:b/>
          <w:bCs/>
          <w:color w:val="auto"/>
          <w:sz w:val="23"/>
          <w:szCs w:val="23"/>
        </w:rPr>
        <w:t>Elbano de Nuccio</w:t>
      </w:r>
      <w:r w:rsidR="001B5BB0" w:rsidRPr="00475DC2">
        <w:rPr>
          <w:color w:val="auto"/>
          <w:sz w:val="23"/>
          <w:szCs w:val="23"/>
        </w:rPr>
        <w:t xml:space="preserve">, hanno firmato oggi un </w:t>
      </w:r>
      <w:r w:rsidR="001B5BB0" w:rsidRPr="00475DC2">
        <w:rPr>
          <w:b/>
          <w:bCs/>
          <w:color w:val="auto"/>
          <w:sz w:val="23"/>
          <w:szCs w:val="23"/>
        </w:rPr>
        <w:t>protocollo d’intesa</w:t>
      </w:r>
      <w:r w:rsidR="001B5BB0" w:rsidRPr="00475DC2">
        <w:rPr>
          <w:color w:val="auto"/>
          <w:sz w:val="23"/>
          <w:szCs w:val="23"/>
        </w:rPr>
        <w:t xml:space="preserve"> finalizzato </w:t>
      </w:r>
      <w:r w:rsidR="00991C9B" w:rsidRPr="00475DC2">
        <w:rPr>
          <w:color w:val="auto"/>
          <w:sz w:val="23"/>
          <w:szCs w:val="23"/>
        </w:rPr>
        <w:t>a</w:t>
      </w:r>
      <w:r w:rsidR="00944E14" w:rsidRPr="00475DC2">
        <w:rPr>
          <w:color w:val="auto"/>
          <w:sz w:val="23"/>
          <w:szCs w:val="23"/>
        </w:rPr>
        <w:t>l perseguimento delle rispettive finalità istituzionali</w:t>
      </w:r>
      <w:r w:rsidR="00F848F6" w:rsidRPr="00475DC2">
        <w:rPr>
          <w:color w:val="auto"/>
          <w:sz w:val="23"/>
          <w:szCs w:val="23"/>
        </w:rPr>
        <w:t xml:space="preserve"> e al migli</w:t>
      </w:r>
      <w:r w:rsidR="00EE6063" w:rsidRPr="00475DC2">
        <w:rPr>
          <w:color w:val="auto"/>
          <w:sz w:val="23"/>
          <w:szCs w:val="23"/>
        </w:rPr>
        <w:t>oramento della funzionalità della Giustizia Tributaria nel superiore interesse dei cittadini.</w:t>
      </w:r>
    </w:p>
    <w:p w14:paraId="3FFC92EE" w14:textId="77777777" w:rsidR="00EE6063" w:rsidRPr="00475DC2" w:rsidRDefault="00EE6063" w:rsidP="00991C9B">
      <w:pPr>
        <w:pStyle w:val="Default"/>
        <w:jc w:val="both"/>
        <w:rPr>
          <w:color w:val="auto"/>
          <w:sz w:val="23"/>
          <w:szCs w:val="23"/>
        </w:rPr>
      </w:pPr>
    </w:p>
    <w:p w14:paraId="19DF58FE" w14:textId="5363C1F3" w:rsidR="00EE6063" w:rsidRPr="00475DC2" w:rsidRDefault="00EE6063" w:rsidP="00991C9B">
      <w:pPr>
        <w:pStyle w:val="Default"/>
        <w:jc w:val="both"/>
        <w:rPr>
          <w:color w:val="auto"/>
          <w:sz w:val="23"/>
          <w:szCs w:val="23"/>
        </w:rPr>
      </w:pPr>
      <w:r w:rsidRPr="00475DC2">
        <w:rPr>
          <w:color w:val="auto"/>
          <w:sz w:val="23"/>
          <w:szCs w:val="23"/>
        </w:rPr>
        <w:t>Tra le attività che i due organismi potranno mettere in atto ci sono l’</w:t>
      </w:r>
      <w:r w:rsidRPr="00475DC2">
        <w:rPr>
          <w:b/>
          <w:bCs/>
          <w:color w:val="auto"/>
          <w:sz w:val="23"/>
          <w:szCs w:val="23"/>
        </w:rPr>
        <w:t xml:space="preserve">organizzazione congiunta di eventi </w:t>
      </w:r>
      <w:r w:rsidRPr="00475DC2">
        <w:rPr>
          <w:color w:val="auto"/>
          <w:sz w:val="23"/>
          <w:szCs w:val="23"/>
        </w:rPr>
        <w:t>scientifici e culturali in materia tributaria; la stipula di un</w:t>
      </w:r>
      <w:r w:rsidR="005960E9" w:rsidRPr="00475DC2">
        <w:rPr>
          <w:color w:val="auto"/>
          <w:sz w:val="23"/>
          <w:szCs w:val="23"/>
        </w:rPr>
        <w:t>a</w:t>
      </w:r>
      <w:r w:rsidRPr="00475DC2">
        <w:rPr>
          <w:color w:val="auto"/>
          <w:sz w:val="23"/>
          <w:szCs w:val="23"/>
        </w:rPr>
        <w:t xml:space="preserve"> convenzione per la realizzazione di </w:t>
      </w:r>
      <w:r w:rsidRPr="00475DC2">
        <w:rPr>
          <w:b/>
          <w:bCs/>
          <w:color w:val="auto"/>
          <w:sz w:val="23"/>
          <w:szCs w:val="23"/>
        </w:rPr>
        <w:t>corsi periodici</w:t>
      </w:r>
      <w:r w:rsidRPr="00475DC2">
        <w:rPr>
          <w:color w:val="auto"/>
          <w:sz w:val="23"/>
          <w:szCs w:val="23"/>
        </w:rPr>
        <w:t xml:space="preserve"> di carattere teorico-pratico </w:t>
      </w:r>
      <w:r w:rsidR="00991C9B" w:rsidRPr="00475DC2">
        <w:rPr>
          <w:color w:val="auto"/>
          <w:sz w:val="23"/>
          <w:szCs w:val="23"/>
        </w:rPr>
        <w:t xml:space="preserve">per </w:t>
      </w:r>
      <w:r w:rsidRPr="00475DC2">
        <w:rPr>
          <w:b/>
          <w:bCs/>
          <w:color w:val="auto"/>
          <w:sz w:val="23"/>
          <w:szCs w:val="23"/>
        </w:rPr>
        <w:t>la formazione continua</w:t>
      </w:r>
      <w:r w:rsidRPr="00475DC2">
        <w:rPr>
          <w:color w:val="auto"/>
          <w:sz w:val="23"/>
          <w:szCs w:val="23"/>
        </w:rPr>
        <w:t xml:space="preserve"> e l</w:t>
      </w:r>
      <w:r w:rsidR="00BF3014" w:rsidRPr="00475DC2">
        <w:rPr>
          <w:color w:val="auto"/>
          <w:sz w:val="23"/>
          <w:szCs w:val="23"/>
        </w:rPr>
        <w:t>’</w:t>
      </w:r>
      <w:r w:rsidRPr="00475DC2">
        <w:rPr>
          <w:color w:val="auto"/>
          <w:sz w:val="23"/>
          <w:szCs w:val="23"/>
        </w:rPr>
        <w:t xml:space="preserve">aggiornamento professionale dei giudici e dei magistrati tributari; l’istituzione di un </w:t>
      </w:r>
      <w:r w:rsidRPr="00475DC2">
        <w:rPr>
          <w:b/>
          <w:bCs/>
          <w:color w:val="auto"/>
          <w:sz w:val="23"/>
          <w:szCs w:val="23"/>
        </w:rPr>
        <w:t>tavolo congiunto</w:t>
      </w:r>
      <w:r w:rsidRPr="00475DC2">
        <w:rPr>
          <w:color w:val="auto"/>
          <w:sz w:val="23"/>
          <w:szCs w:val="23"/>
        </w:rPr>
        <w:t xml:space="preserve"> per </w:t>
      </w:r>
      <w:r w:rsidR="009E6DFF" w:rsidRPr="00475DC2">
        <w:rPr>
          <w:color w:val="auto"/>
          <w:sz w:val="23"/>
          <w:szCs w:val="23"/>
        </w:rPr>
        <w:t xml:space="preserve">individuare </w:t>
      </w:r>
      <w:r w:rsidRPr="00475DC2">
        <w:rPr>
          <w:color w:val="auto"/>
          <w:sz w:val="23"/>
          <w:szCs w:val="23"/>
        </w:rPr>
        <w:t>“buone prassi” nell’organizzazione</w:t>
      </w:r>
      <w:r w:rsidR="00581729" w:rsidRPr="00475DC2">
        <w:rPr>
          <w:color w:val="auto"/>
          <w:sz w:val="23"/>
          <w:szCs w:val="23"/>
        </w:rPr>
        <w:t xml:space="preserve"> dell’attività degli uffici giudiziari e per la soluzione d</w:t>
      </w:r>
      <w:r w:rsidR="009E6DFF" w:rsidRPr="00475DC2">
        <w:rPr>
          <w:color w:val="auto"/>
          <w:sz w:val="23"/>
          <w:szCs w:val="23"/>
        </w:rPr>
        <w:t xml:space="preserve">i </w:t>
      </w:r>
      <w:r w:rsidR="00581729" w:rsidRPr="00475DC2">
        <w:rPr>
          <w:color w:val="auto"/>
          <w:sz w:val="23"/>
          <w:szCs w:val="23"/>
        </w:rPr>
        <w:t>eventuali criticità riscontrate.</w:t>
      </w:r>
    </w:p>
    <w:p w14:paraId="2865CD6F" w14:textId="77777777" w:rsidR="00EE6063" w:rsidRPr="00475DC2" w:rsidRDefault="00EE6063" w:rsidP="00991C9B">
      <w:pPr>
        <w:numPr>
          <w:ilvl w:val="1"/>
          <w:numId w:val="8"/>
        </w:numPr>
        <w:autoSpaceDE w:val="0"/>
        <w:autoSpaceDN w:val="0"/>
        <w:adjustRightInd w:val="0"/>
        <w:rPr>
          <w:rFonts w:ascii="Arial" w:hAnsi="Arial" w:cs="Arial"/>
          <w:sz w:val="23"/>
          <w:szCs w:val="23"/>
          <w:lang w:eastAsia="en-US"/>
          <w14:ligatures w14:val="standardContextual"/>
        </w:rPr>
      </w:pPr>
    </w:p>
    <w:p w14:paraId="707D5868" w14:textId="43E6E375" w:rsidR="00273BB9" w:rsidRPr="00475DC2" w:rsidRDefault="00BF3014" w:rsidP="00991C9B">
      <w:pPr>
        <w:numPr>
          <w:ilvl w:val="1"/>
          <w:numId w:val="9"/>
        </w:numPr>
        <w:autoSpaceDE w:val="0"/>
        <w:autoSpaceDN w:val="0"/>
        <w:adjustRightInd w:val="0"/>
        <w:jc w:val="both"/>
        <w:rPr>
          <w:rFonts w:ascii="Arial" w:hAnsi="Arial" w:cs="Arial"/>
          <w:sz w:val="23"/>
          <w:szCs w:val="23"/>
        </w:rPr>
      </w:pPr>
      <w:r w:rsidRPr="00475DC2">
        <w:rPr>
          <w:rFonts w:ascii="Arial" w:hAnsi="Arial" w:cs="Arial"/>
          <w:sz w:val="23"/>
          <w:szCs w:val="23"/>
          <w:lang w:eastAsia="en-US"/>
          <w14:ligatures w14:val="standardContextual"/>
        </w:rPr>
        <w:t>I</w:t>
      </w:r>
      <w:r w:rsidR="00EE6063" w:rsidRPr="00475DC2">
        <w:rPr>
          <w:rFonts w:ascii="Arial" w:hAnsi="Arial" w:cs="Arial"/>
          <w:sz w:val="23"/>
          <w:szCs w:val="23"/>
          <w:lang w:eastAsia="en-US"/>
          <w14:ligatures w14:val="standardContextual"/>
        </w:rPr>
        <w:t>noltre,</w:t>
      </w:r>
      <w:r w:rsidR="00944E14" w:rsidRPr="00475DC2">
        <w:rPr>
          <w:rFonts w:ascii="Arial" w:hAnsi="Arial" w:cs="Arial"/>
          <w:sz w:val="23"/>
          <w:szCs w:val="23"/>
          <w:lang w:eastAsia="en-US"/>
          <w14:ligatures w14:val="standardContextual"/>
        </w:rPr>
        <w:t xml:space="preserve"> </w:t>
      </w:r>
      <w:r w:rsidR="009E6DFF" w:rsidRPr="00475DC2">
        <w:rPr>
          <w:rFonts w:ascii="Arial" w:hAnsi="Arial" w:cs="Arial"/>
          <w:sz w:val="23"/>
          <w:szCs w:val="23"/>
          <w:lang w:eastAsia="en-US"/>
          <w14:ligatures w14:val="standardContextual"/>
        </w:rPr>
        <w:t xml:space="preserve">grazie al protocollo, </w:t>
      </w:r>
      <w:r w:rsidR="00944E14" w:rsidRPr="00475DC2">
        <w:rPr>
          <w:rFonts w:ascii="Arial" w:hAnsi="Arial" w:cs="Arial"/>
          <w:sz w:val="23"/>
          <w:szCs w:val="23"/>
          <w:lang w:eastAsia="en-US"/>
          <w14:ligatures w14:val="standardContextual"/>
        </w:rPr>
        <w:t>potr</w:t>
      </w:r>
      <w:r w:rsidR="005D5E6A" w:rsidRPr="00475DC2">
        <w:rPr>
          <w:rFonts w:ascii="Arial" w:hAnsi="Arial" w:cs="Arial"/>
          <w:sz w:val="23"/>
          <w:szCs w:val="23"/>
          <w:lang w:eastAsia="en-US"/>
          <w14:ligatures w14:val="standardContextual"/>
        </w:rPr>
        <w:t xml:space="preserve">à essere individuata </w:t>
      </w:r>
      <w:r w:rsidR="009E6DFF" w:rsidRPr="00475DC2">
        <w:rPr>
          <w:rFonts w:ascii="Arial" w:hAnsi="Arial" w:cs="Arial"/>
          <w:sz w:val="23"/>
          <w:szCs w:val="23"/>
          <w:lang w:eastAsia="en-US"/>
          <w14:ligatures w14:val="standardContextual"/>
        </w:rPr>
        <w:t>un’</w:t>
      </w:r>
      <w:r w:rsidR="00EE6063" w:rsidRPr="00475DC2">
        <w:rPr>
          <w:rFonts w:ascii="Arial" w:hAnsi="Arial" w:cs="Arial"/>
          <w:sz w:val="23"/>
          <w:szCs w:val="23"/>
          <w:lang w:eastAsia="en-US"/>
          <w14:ligatures w14:val="standardContextual"/>
        </w:rPr>
        <w:t xml:space="preserve">eventuale </w:t>
      </w:r>
      <w:r w:rsidR="00EE6063" w:rsidRPr="00475DC2">
        <w:rPr>
          <w:rFonts w:ascii="Arial" w:hAnsi="Arial" w:cs="Arial"/>
          <w:b/>
          <w:bCs/>
          <w:sz w:val="23"/>
          <w:szCs w:val="23"/>
          <w:lang w:eastAsia="en-US"/>
          <w14:ligatures w14:val="standardContextual"/>
        </w:rPr>
        <w:t xml:space="preserve">collaborazione dei </w:t>
      </w:r>
      <w:r w:rsidR="00944E14" w:rsidRPr="00475DC2">
        <w:rPr>
          <w:rFonts w:ascii="Arial" w:hAnsi="Arial" w:cs="Arial"/>
          <w:b/>
          <w:bCs/>
          <w:sz w:val="23"/>
          <w:szCs w:val="23"/>
          <w:lang w:eastAsia="en-US"/>
          <w14:ligatures w14:val="standardContextual"/>
        </w:rPr>
        <w:t>c</w:t>
      </w:r>
      <w:r w:rsidR="00EE6063" w:rsidRPr="00475DC2">
        <w:rPr>
          <w:rFonts w:ascii="Arial" w:hAnsi="Arial" w:cs="Arial"/>
          <w:b/>
          <w:bCs/>
          <w:sz w:val="23"/>
          <w:szCs w:val="23"/>
          <w:lang w:eastAsia="en-US"/>
          <w14:ligatures w14:val="standardContextual"/>
        </w:rPr>
        <w:t xml:space="preserve">ommercialisti </w:t>
      </w:r>
      <w:r w:rsidR="00EE6063" w:rsidRPr="00475DC2">
        <w:rPr>
          <w:rFonts w:ascii="Arial" w:hAnsi="Arial" w:cs="Arial"/>
          <w:sz w:val="23"/>
          <w:szCs w:val="23"/>
          <w:lang w:eastAsia="en-US"/>
          <w14:ligatures w14:val="standardContextual"/>
        </w:rPr>
        <w:t>all’attività di competenza dell’Ufficio del massimario nazionale istituito presso il CPGT</w:t>
      </w:r>
      <w:r w:rsidR="00944E14" w:rsidRPr="00475DC2">
        <w:rPr>
          <w:rFonts w:ascii="Arial" w:hAnsi="Arial" w:cs="Arial"/>
          <w:sz w:val="23"/>
          <w:szCs w:val="23"/>
          <w:lang w:eastAsia="en-US"/>
          <w14:ligatures w14:val="standardContextual"/>
        </w:rPr>
        <w:t xml:space="preserve"> </w:t>
      </w:r>
      <w:r w:rsidR="009E6DFF" w:rsidRPr="00475DC2">
        <w:rPr>
          <w:rFonts w:ascii="Arial" w:hAnsi="Arial" w:cs="Arial"/>
          <w:sz w:val="23"/>
          <w:szCs w:val="23"/>
          <w:lang w:eastAsia="en-US"/>
          <w14:ligatures w14:val="standardContextual"/>
        </w:rPr>
        <w:t>per</w:t>
      </w:r>
      <w:r w:rsidR="00944E14" w:rsidRPr="00475DC2">
        <w:rPr>
          <w:rFonts w:ascii="Arial" w:hAnsi="Arial" w:cs="Arial"/>
          <w:b/>
          <w:bCs/>
          <w:sz w:val="23"/>
          <w:szCs w:val="23"/>
        </w:rPr>
        <w:t xml:space="preserve"> rileva</w:t>
      </w:r>
      <w:r w:rsidR="009E6DFF" w:rsidRPr="00475DC2">
        <w:rPr>
          <w:rFonts w:ascii="Arial" w:hAnsi="Arial" w:cs="Arial"/>
          <w:b/>
          <w:bCs/>
          <w:sz w:val="23"/>
          <w:szCs w:val="23"/>
        </w:rPr>
        <w:t>re</w:t>
      </w:r>
      <w:r w:rsidR="00944E14" w:rsidRPr="00475DC2">
        <w:rPr>
          <w:rFonts w:ascii="Arial" w:hAnsi="Arial" w:cs="Arial"/>
          <w:b/>
          <w:bCs/>
          <w:sz w:val="23"/>
          <w:szCs w:val="23"/>
        </w:rPr>
        <w:t>, classifica</w:t>
      </w:r>
      <w:r w:rsidR="009E6DFF" w:rsidRPr="00475DC2">
        <w:rPr>
          <w:rFonts w:ascii="Arial" w:hAnsi="Arial" w:cs="Arial"/>
          <w:b/>
          <w:bCs/>
          <w:sz w:val="23"/>
          <w:szCs w:val="23"/>
        </w:rPr>
        <w:t>re</w:t>
      </w:r>
      <w:r w:rsidR="00944E14" w:rsidRPr="00475DC2">
        <w:rPr>
          <w:rFonts w:ascii="Arial" w:hAnsi="Arial" w:cs="Arial"/>
          <w:b/>
          <w:bCs/>
          <w:sz w:val="23"/>
          <w:szCs w:val="23"/>
        </w:rPr>
        <w:t xml:space="preserve"> e ordina</w:t>
      </w:r>
      <w:r w:rsidR="009E6DFF" w:rsidRPr="00475DC2">
        <w:rPr>
          <w:rFonts w:ascii="Arial" w:hAnsi="Arial" w:cs="Arial"/>
          <w:b/>
          <w:bCs/>
          <w:sz w:val="23"/>
          <w:szCs w:val="23"/>
        </w:rPr>
        <w:t>re</w:t>
      </w:r>
      <w:r w:rsidR="00944E14" w:rsidRPr="00475DC2">
        <w:rPr>
          <w:rFonts w:ascii="Arial" w:hAnsi="Arial" w:cs="Arial"/>
          <w:b/>
          <w:bCs/>
          <w:sz w:val="23"/>
          <w:szCs w:val="23"/>
        </w:rPr>
        <w:t xml:space="preserve"> in massime le decisioni delle corti di giustizia tributaria</w:t>
      </w:r>
      <w:r w:rsidR="00944E14" w:rsidRPr="00475DC2">
        <w:rPr>
          <w:rFonts w:ascii="Arial" w:hAnsi="Arial" w:cs="Arial"/>
          <w:sz w:val="23"/>
          <w:szCs w:val="23"/>
        </w:rPr>
        <w:t xml:space="preserve"> di secondo grado e le più significative tra quelle emesse dalle corti di giustizia tributaria di primo grado che alimentano la banca dati della giurisprudenza tributaria di merito</w:t>
      </w:r>
      <w:r w:rsidR="005D5E6A" w:rsidRPr="00475DC2">
        <w:rPr>
          <w:rFonts w:ascii="Arial" w:hAnsi="Arial" w:cs="Arial"/>
          <w:sz w:val="23"/>
          <w:szCs w:val="23"/>
        </w:rPr>
        <w:t>,</w:t>
      </w:r>
      <w:r w:rsidR="00944E14" w:rsidRPr="00475DC2">
        <w:rPr>
          <w:rFonts w:ascii="Arial" w:hAnsi="Arial" w:cs="Arial"/>
          <w:sz w:val="23"/>
          <w:szCs w:val="23"/>
        </w:rPr>
        <w:t xml:space="preserve"> gestita dal Ministero dell</w:t>
      </w:r>
      <w:r w:rsidRPr="00475DC2">
        <w:rPr>
          <w:rFonts w:ascii="Arial" w:hAnsi="Arial" w:cs="Arial"/>
          <w:sz w:val="23"/>
          <w:szCs w:val="23"/>
        </w:rPr>
        <w:t>’E</w:t>
      </w:r>
      <w:r w:rsidR="00944E14" w:rsidRPr="00475DC2">
        <w:rPr>
          <w:rFonts w:ascii="Arial" w:hAnsi="Arial" w:cs="Arial"/>
          <w:sz w:val="23"/>
          <w:szCs w:val="23"/>
        </w:rPr>
        <w:t xml:space="preserve">conomia e delle </w:t>
      </w:r>
      <w:r w:rsidRPr="00475DC2">
        <w:rPr>
          <w:rFonts w:ascii="Arial" w:hAnsi="Arial" w:cs="Arial"/>
          <w:sz w:val="23"/>
          <w:szCs w:val="23"/>
        </w:rPr>
        <w:t>F</w:t>
      </w:r>
      <w:r w:rsidR="00944E14" w:rsidRPr="00475DC2">
        <w:rPr>
          <w:rFonts w:ascii="Arial" w:hAnsi="Arial" w:cs="Arial"/>
          <w:sz w:val="23"/>
          <w:szCs w:val="23"/>
        </w:rPr>
        <w:t>inanze</w:t>
      </w:r>
      <w:r w:rsidR="009E6DFF" w:rsidRPr="00475DC2">
        <w:rPr>
          <w:rFonts w:ascii="Arial" w:hAnsi="Arial" w:cs="Arial"/>
          <w:sz w:val="23"/>
          <w:szCs w:val="23"/>
        </w:rPr>
        <w:t xml:space="preserve">. Potranno anche </w:t>
      </w:r>
      <w:r w:rsidR="00944E14" w:rsidRPr="00475DC2">
        <w:rPr>
          <w:rFonts w:ascii="Arial" w:hAnsi="Arial" w:cs="Arial"/>
          <w:sz w:val="23"/>
          <w:szCs w:val="23"/>
          <w:lang w:eastAsia="en-US"/>
          <w14:ligatures w14:val="standardContextual"/>
        </w:rPr>
        <w:t>essere elaborate</w:t>
      </w:r>
      <w:r w:rsidR="00EE6063" w:rsidRPr="00475DC2">
        <w:rPr>
          <w:rFonts w:ascii="Arial" w:hAnsi="Arial" w:cs="Arial"/>
          <w:sz w:val="23"/>
          <w:szCs w:val="23"/>
          <w:lang w:eastAsia="en-US"/>
          <w14:ligatures w14:val="standardContextual"/>
        </w:rPr>
        <w:t xml:space="preserve"> </w:t>
      </w:r>
      <w:r w:rsidR="00EE6063" w:rsidRPr="00475DC2">
        <w:rPr>
          <w:rFonts w:ascii="Arial" w:hAnsi="Arial" w:cs="Arial"/>
          <w:b/>
          <w:bCs/>
          <w:sz w:val="23"/>
          <w:szCs w:val="23"/>
          <w:lang w:eastAsia="en-US"/>
          <w14:ligatures w14:val="standardContextual"/>
        </w:rPr>
        <w:t>proposte comuni di revisione della normativa vigente</w:t>
      </w:r>
      <w:r w:rsidR="00EE6063" w:rsidRPr="00475DC2">
        <w:rPr>
          <w:rFonts w:ascii="Arial" w:hAnsi="Arial" w:cs="Arial"/>
          <w:sz w:val="23"/>
          <w:szCs w:val="23"/>
          <w:lang w:eastAsia="en-US"/>
          <w14:ligatures w14:val="standardContextual"/>
        </w:rPr>
        <w:t xml:space="preserve"> in materia tributaria</w:t>
      </w:r>
      <w:r w:rsidR="00273BB9" w:rsidRPr="00475DC2">
        <w:rPr>
          <w:rFonts w:ascii="Arial" w:hAnsi="Arial" w:cs="Arial"/>
          <w:sz w:val="23"/>
          <w:szCs w:val="23"/>
          <w:lang w:eastAsia="en-US"/>
          <w14:ligatures w14:val="standardContextual"/>
        </w:rPr>
        <w:t>.</w:t>
      </w:r>
    </w:p>
    <w:p w14:paraId="369EF3AC" w14:textId="77777777" w:rsidR="00273BB9" w:rsidRPr="00475DC2" w:rsidRDefault="00273BB9" w:rsidP="00991C9B">
      <w:pPr>
        <w:numPr>
          <w:ilvl w:val="1"/>
          <w:numId w:val="9"/>
        </w:numPr>
        <w:autoSpaceDE w:val="0"/>
        <w:autoSpaceDN w:val="0"/>
        <w:adjustRightInd w:val="0"/>
        <w:jc w:val="both"/>
        <w:rPr>
          <w:rFonts w:ascii="Arial" w:hAnsi="Arial" w:cs="Arial"/>
          <w:sz w:val="23"/>
          <w:szCs w:val="23"/>
        </w:rPr>
      </w:pPr>
    </w:p>
    <w:p w14:paraId="1EC34C94" w14:textId="7C113AB1" w:rsidR="00944E14" w:rsidRPr="00475DC2" w:rsidRDefault="00273BB9" w:rsidP="00991C9B">
      <w:pPr>
        <w:numPr>
          <w:ilvl w:val="1"/>
          <w:numId w:val="9"/>
        </w:numPr>
        <w:autoSpaceDE w:val="0"/>
        <w:autoSpaceDN w:val="0"/>
        <w:adjustRightInd w:val="0"/>
        <w:jc w:val="both"/>
        <w:rPr>
          <w:rFonts w:ascii="Arial" w:hAnsi="Arial" w:cs="Arial"/>
          <w:sz w:val="23"/>
          <w:szCs w:val="23"/>
        </w:rPr>
      </w:pPr>
      <w:r w:rsidRPr="00475DC2">
        <w:rPr>
          <w:rFonts w:ascii="Arial" w:hAnsi="Arial" w:cs="Arial"/>
          <w:sz w:val="23"/>
          <w:szCs w:val="23"/>
          <w:lang w:eastAsia="en-US"/>
          <w14:ligatures w14:val="standardContextual"/>
        </w:rPr>
        <w:t>In virtù del</w:t>
      </w:r>
      <w:r w:rsidR="009E6DFF" w:rsidRPr="00475DC2">
        <w:rPr>
          <w:rFonts w:ascii="Arial" w:hAnsi="Arial" w:cs="Arial"/>
          <w:sz w:val="23"/>
          <w:szCs w:val="23"/>
          <w:lang w:eastAsia="en-US"/>
          <w14:ligatures w14:val="standardContextual"/>
        </w:rPr>
        <w:t>l’accordo</w:t>
      </w:r>
      <w:r w:rsidRPr="00475DC2">
        <w:rPr>
          <w:rFonts w:ascii="Arial" w:hAnsi="Arial" w:cs="Arial"/>
          <w:sz w:val="23"/>
          <w:szCs w:val="23"/>
          <w:lang w:eastAsia="en-US"/>
          <w14:ligatures w14:val="standardContextual"/>
        </w:rPr>
        <w:t>, infine,</w:t>
      </w:r>
      <w:r w:rsidR="005D5E6A" w:rsidRPr="00475DC2">
        <w:rPr>
          <w:rFonts w:ascii="Arial" w:hAnsi="Arial" w:cs="Arial"/>
          <w:sz w:val="23"/>
          <w:szCs w:val="23"/>
          <w:lang w:eastAsia="en-US"/>
          <w14:ligatures w14:val="standardContextual"/>
        </w:rPr>
        <w:t xml:space="preserve"> i due organismi potranno definire </w:t>
      </w:r>
      <w:r w:rsidR="00EE6063" w:rsidRPr="00475DC2">
        <w:rPr>
          <w:rFonts w:ascii="Arial" w:hAnsi="Arial" w:cs="Arial"/>
          <w:b/>
          <w:bCs/>
          <w:sz w:val="23"/>
          <w:szCs w:val="23"/>
          <w:lang w:eastAsia="en-US"/>
          <w14:ligatures w14:val="standardContextual"/>
        </w:rPr>
        <w:t xml:space="preserve">modalità di trasmissione delle informazioni </w:t>
      </w:r>
      <w:r w:rsidR="009E6DFF" w:rsidRPr="00475DC2">
        <w:rPr>
          <w:rFonts w:ascii="Arial" w:hAnsi="Arial" w:cs="Arial"/>
          <w:b/>
          <w:bCs/>
          <w:sz w:val="23"/>
          <w:szCs w:val="23"/>
          <w:lang w:eastAsia="en-US"/>
          <w14:ligatures w14:val="standardContextual"/>
        </w:rPr>
        <w:t>riguardanti</w:t>
      </w:r>
      <w:r w:rsidR="00EE6063" w:rsidRPr="00475DC2">
        <w:rPr>
          <w:rFonts w:ascii="Arial" w:hAnsi="Arial" w:cs="Arial"/>
          <w:b/>
          <w:bCs/>
          <w:sz w:val="23"/>
          <w:szCs w:val="23"/>
          <w:lang w:eastAsia="en-US"/>
          <w14:ligatures w14:val="standardContextual"/>
        </w:rPr>
        <w:t xml:space="preserve"> le azioni disciplinari</w:t>
      </w:r>
      <w:r w:rsidR="00EE6063" w:rsidRPr="00475DC2">
        <w:rPr>
          <w:rFonts w:ascii="Arial" w:hAnsi="Arial" w:cs="Arial"/>
          <w:sz w:val="23"/>
          <w:szCs w:val="23"/>
          <w:lang w:eastAsia="en-US"/>
          <w14:ligatures w14:val="standardContextual"/>
        </w:rPr>
        <w:t xml:space="preserve"> intraprese dal CPGT nei confronti di </w:t>
      </w:r>
      <w:r w:rsidR="009E6DFF" w:rsidRPr="00475DC2">
        <w:rPr>
          <w:rFonts w:ascii="Arial" w:hAnsi="Arial" w:cs="Arial"/>
          <w:b/>
          <w:bCs/>
          <w:sz w:val="23"/>
          <w:szCs w:val="23"/>
          <w:lang w:eastAsia="en-US"/>
          <w14:ligatures w14:val="standardContextual"/>
        </w:rPr>
        <w:t>g</w:t>
      </w:r>
      <w:r w:rsidR="00EE6063" w:rsidRPr="00475DC2">
        <w:rPr>
          <w:rFonts w:ascii="Arial" w:hAnsi="Arial" w:cs="Arial"/>
          <w:b/>
          <w:bCs/>
          <w:sz w:val="23"/>
          <w:szCs w:val="23"/>
          <w:lang w:eastAsia="en-US"/>
          <w14:ligatures w14:val="standardContextual"/>
        </w:rPr>
        <w:t xml:space="preserve">iudici tributari iscritti all’Albo dei </w:t>
      </w:r>
      <w:r w:rsidR="009E6DFF" w:rsidRPr="00475DC2">
        <w:rPr>
          <w:rFonts w:ascii="Arial" w:hAnsi="Arial" w:cs="Arial"/>
          <w:b/>
          <w:bCs/>
          <w:sz w:val="23"/>
          <w:szCs w:val="23"/>
          <w:lang w:eastAsia="en-US"/>
          <w14:ligatures w14:val="standardContextual"/>
        </w:rPr>
        <w:t>commercialisti</w:t>
      </w:r>
      <w:r w:rsidR="009E6DFF" w:rsidRPr="00475DC2">
        <w:rPr>
          <w:rFonts w:ascii="Arial" w:hAnsi="Arial" w:cs="Arial"/>
          <w:sz w:val="23"/>
          <w:szCs w:val="23"/>
          <w:lang w:eastAsia="en-US"/>
          <w14:ligatures w14:val="standardContextual"/>
        </w:rPr>
        <w:t xml:space="preserve"> </w:t>
      </w:r>
      <w:r w:rsidR="00EE6063" w:rsidRPr="00475DC2">
        <w:rPr>
          <w:rFonts w:ascii="Arial" w:hAnsi="Arial" w:cs="Arial"/>
          <w:sz w:val="23"/>
          <w:szCs w:val="23"/>
          <w:lang w:eastAsia="en-US"/>
          <w14:ligatures w14:val="standardContextual"/>
        </w:rPr>
        <w:t xml:space="preserve">e quelle intraprese dai Consigli di disciplina istituiti presso gli Ordini </w:t>
      </w:r>
      <w:r w:rsidR="009E6DFF" w:rsidRPr="00475DC2">
        <w:rPr>
          <w:rFonts w:ascii="Arial" w:hAnsi="Arial" w:cs="Arial"/>
          <w:sz w:val="23"/>
          <w:szCs w:val="23"/>
          <w:lang w:eastAsia="en-US"/>
          <w14:ligatures w14:val="standardContextual"/>
        </w:rPr>
        <w:t xml:space="preserve">dei commercialisti </w:t>
      </w:r>
      <w:r w:rsidR="00EE6063" w:rsidRPr="00475DC2">
        <w:rPr>
          <w:rFonts w:ascii="Arial" w:hAnsi="Arial" w:cs="Arial"/>
          <w:sz w:val="23"/>
          <w:szCs w:val="23"/>
          <w:lang w:eastAsia="en-US"/>
          <w14:ligatures w14:val="standardContextual"/>
        </w:rPr>
        <w:t xml:space="preserve">nei confronti di iscritti all’Albo che rivestano il ruolo di </w:t>
      </w:r>
      <w:r w:rsidR="009E6DFF" w:rsidRPr="00475DC2">
        <w:rPr>
          <w:rFonts w:ascii="Arial" w:hAnsi="Arial" w:cs="Arial"/>
          <w:sz w:val="23"/>
          <w:szCs w:val="23"/>
          <w:lang w:eastAsia="en-US"/>
          <w14:ligatures w14:val="standardContextual"/>
        </w:rPr>
        <w:t>g</w:t>
      </w:r>
      <w:r w:rsidR="00EE6063" w:rsidRPr="00475DC2">
        <w:rPr>
          <w:rFonts w:ascii="Arial" w:hAnsi="Arial" w:cs="Arial"/>
          <w:sz w:val="23"/>
          <w:szCs w:val="23"/>
          <w:lang w:eastAsia="en-US"/>
          <w14:ligatures w14:val="standardContextual"/>
        </w:rPr>
        <w:t>iudici tributari.</w:t>
      </w:r>
    </w:p>
    <w:p w14:paraId="5466BD11" w14:textId="3000E4A2" w:rsidR="00F35F53" w:rsidRPr="00475DC2" w:rsidRDefault="00F35F53" w:rsidP="00991C9B">
      <w:pPr>
        <w:autoSpaceDE w:val="0"/>
        <w:autoSpaceDN w:val="0"/>
        <w:adjustRightInd w:val="0"/>
        <w:jc w:val="both"/>
        <w:rPr>
          <w:rFonts w:ascii="Arial" w:hAnsi="Arial" w:cs="Arial"/>
          <w:sz w:val="23"/>
          <w:szCs w:val="23"/>
        </w:rPr>
      </w:pPr>
    </w:p>
    <w:p w14:paraId="7AB06638" w14:textId="186824CC" w:rsidR="00F35F53" w:rsidRPr="00475DC2" w:rsidRDefault="002B6428" w:rsidP="002B6428">
      <w:pPr>
        <w:autoSpaceDE w:val="0"/>
        <w:autoSpaceDN w:val="0"/>
        <w:adjustRightInd w:val="0"/>
        <w:jc w:val="both"/>
        <w:rPr>
          <w:rFonts w:ascii="Arial" w:hAnsi="Arial" w:cs="Arial"/>
          <w:sz w:val="23"/>
          <w:szCs w:val="23"/>
        </w:rPr>
      </w:pPr>
      <w:r w:rsidRPr="00475DC2">
        <w:rPr>
          <w:rFonts w:ascii="Arial" w:hAnsi="Arial" w:cs="Arial"/>
          <w:sz w:val="23"/>
          <w:szCs w:val="23"/>
        </w:rPr>
        <w:t xml:space="preserve">“La giustizia tributaria con la legge 130 del 2022 ha cambiato radicalmente volto. La formazione in materia fiscale riveste ora un ruolo quanto mai cruciale. In un contesto dove la normativa è oggetto di frequenti modifiche ed interpretazioni, è fondamentale che tutti gli operatori del processo tributario mantengano un alto livello di competenza e aggiornamento – ha affermato </w:t>
      </w:r>
      <w:r w:rsidRPr="00475DC2">
        <w:rPr>
          <w:rFonts w:ascii="Arial" w:hAnsi="Arial" w:cs="Arial"/>
          <w:b/>
          <w:bCs/>
          <w:sz w:val="23"/>
          <w:szCs w:val="23"/>
        </w:rPr>
        <w:t>Carolina Lussana</w:t>
      </w:r>
      <w:r w:rsidRPr="00475DC2">
        <w:rPr>
          <w:rFonts w:ascii="Arial" w:hAnsi="Arial" w:cs="Arial"/>
          <w:sz w:val="23"/>
          <w:szCs w:val="23"/>
        </w:rPr>
        <w:t>, Presidente del Consiglio di Presidenza della Giustizia Tributaria –. Con questo protocollo sono certa che si raggiungeranno grandi risultati, migliorando ancor di più la qualità delle sentenze in modo da fornire le giuste risposte al cittadino che chiede, da un lato, svolgimento di processi in tempi rapidi e con modalità trasparenti, e dall’altro che le iniziative e le decisioni siano qualitativamente adeguate e tecnicamente corrette”.</w:t>
      </w:r>
    </w:p>
    <w:p w14:paraId="6B631B89" w14:textId="77777777" w:rsidR="002B6428" w:rsidRPr="00475DC2" w:rsidRDefault="002B6428" w:rsidP="002B6428">
      <w:pPr>
        <w:autoSpaceDE w:val="0"/>
        <w:autoSpaceDN w:val="0"/>
        <w:adjustRightInd w:val="0"/>
        <w:jc w:val="both"/>
        <w:rPr>
          <w:rFonts w:ascii="Arial" w:hAnsi="Arial" w:cs="Arial"/>
          <w:sz w:val="23"/>
          <w:szCs w:val="23"/>
        </w:rPr>
      </w:pPr>
    </w:p>
    <w:p w14:paraId="6A5E9812" w14:textId="4438D319" w:rsidR="00D24D42" w:rsidRPr="00475DC2" w:rsidRDefault="007203B6" w:rsidP="00991C9B">
      <w:pPr>
        <w:autoSpaceDE w:val="0"/>
        <w:autoSpaceDN w:val="0"/>
        <w:adjustRightInd w:val="0"/>
        <w:jc w:val="both"/>
        <w:rPr>
          <w:rFonts w:ascii="Arial" w:hAnsi="Arial" w:cs="Arial"/>
          <w:sz w:val="23"/>
          <w:szCs w:val="23"/>
        </w:rPr>
      </w:pPr>
      <w:r w:rsidRPr="00475DC2">
        <w:rPr>
          <w:rFonts w:ascii="Arial" w:hAnsi="Arial" w:cs="Arial"/>
          <w:sz w:val="23"/>
          <w:szCs w:val="23"/>
        </w:rPr>
        <w:t>“</w:t>
      </w:r>
      <w:r w:rsidR="004B58AE" w:rsidRPr="00475DC2">
        <w:rPr>
          <w:rFonts w:ascii="Arial" w:hAnsi="Arial" w:cs="Arial"/>
          <w:sz w:val="23"/>
          <w:szCs w:val="23"/>
        </w:rPr>
        <w:t xml:space="preserve">Questo protocollo d’intesa ha il fine di </w:t>
      </w:r>
      <w:r w:rsidR="004B58AE" w:rsidRPr="00475DC2">
        <w:rPr>
          <w:rFonts w:ascii="Arial" w:hAnsi="Arial" w:cs="Arial"/>
          <w:b/>
          <w:bCs/>
          <w:sz w:val="23"/>
          <w:szCs w:val="23"/>
        </w:rPr>
        <w:t>rafforzare il dialogo tra i nostri due organismi</w:t>
      </w:r>
      <w:r w:rsidR="004B58AE" w:rsidRPr="00475DC2">
        <w:rPr>
          <w:rFonts w:ascii="Arial" w:hAnsi="Arial" w:cs="Arial"/>
          <w:sz w:val="23"/>
          <w:szCs w:val="23"/>
        </w:rPr>
        <w:t xml:space="preserve"> per contribuire a realizzare attività di pubblico interesse per il buon funzionamento del sistema tributario italiano – </w:t>
      </w:r>
      <w:r w:rsidR="00F35F53" w:rsidRPr="00475DC2">
        <w:rPr>
          <w:rFonts w:ascii="Arial" w:hAnsi="Arial" w:cs="Arial"/>
          <w:sz w:val="23"/>
          <w:szCs w:val="23"/>
        </w:rPr>
        <w:t xml:space="preserve">ha dichiarato </w:t>
      </w:r>
      <w:r w:rsidR="00F35F53" w:rsidRPr="00475DC2">
        <w:rPr>
          <w:rFonts w:ascii="Arial" w:hAnsi="Arial" w:cs="Arial"/>
          <w:b/>
          <w:bCs/>
          <w:sz w:val="23"/>
          <w:szCs w:val="23"/>
        </w:rPr>
        <w:t>Elbano de Nuccio</w:t>
      </w:r>
      <w:r w:rsidR="00F35F53" w:rsidRPr="00475DC2">
        <w:rPr>
          <w:rFonts w:ascii="Arial" w:hAnsi="Arial" w:cs="Arial"/>
          <w:sz w:val="23"/>
          <w:szCs w:val="23"/>
        </w:rPr>
        <w:t xml:space="preserve">, presidente del Consiglio nazionale dei commercialisti </w:t>
      </w:r>
      <w:r w:rsidR="004B58AE" w:rsidRPr="00475DC2">
        <w:rPr>
          <w:rFonts w:ascii="Arial" w:hAnsi="Arial" w:cs="Arial"/>
          <w:sz w:val="23"/>
          <w:szCs w:val="23"/>
        </w:rPr>
        <w:t xml:space="preserve">–. </w:t>
      </w:r>
      <w:r w:rsidR="0065396B" w:rsidRPr="00475DC2">
        <w:rPr>
          <w:rFonts w:ascii="Arial" w:hAnsi="Arial" w:cs="Arial"/>
          <w:sz w:val="23"/>
          <w:szCs w:val="23"/>
        </w:rPr>
        <w:t xml:space="preserve">Un ambito nel quale </w:t>
      </w:r>
      <w:r w:rsidR="00D24D42" w:rsidRPr="00475DC2">
        <w:rPr>
          <w:rFonts w:ascii="Arial" w:hAnsi="Arial" w:cs="Arial"/>
          <w:b/>
          <w:bCs/>
          <w:sz w:val="23"/>
          <w:szCs w:val="23"/>
        </w:rPr>
        <w:t xml:space="preserve">i commercialisti </w:t>
      </w:r>
      <w:r w:rsidR="00D24D42" w:rsidRPr="00475DC2">
        <w:rPr>
          <w:rFonts w:ascii="Arial" w:hAnsi="Arial" w:cs="Arial"/>
          <w:sz w:val="23"/>
          <w:szCs w:val="23"/>
        </w:rPr>
        <w:t>rivestono un</w:t>
      </w:r>
      <w:r w:rsidR="00D24D42" w:rsidRPr="00475DC2">
        <w:rPr>
          <w:rFonts w:ascii="Arial" w:hAnsi="Arial" w:cs="Arial"/>
          <w:b/>
          <w:bCs/>
          <w:sz w:val="23"/>
          <w:szCs w:val="23"/>
        </w:rPr>
        <w:t xml:space="preserve"> ruolo </w:t>
      </w:r>
      <w:r w:rsidR="0065396B" w:rsidRPr="00475DC2">
        <w:rPr>
          <w:rFonts w:ascii="Arial" w:hAnsi="Arial" w:cs="Arial"/>
          <w:b/>
          <w:bCs/>
          <w:sz w:val="23"/>
          <w:szCs w:val="23"/>
        </w:rPr>
        <w:t xml:space="preserve">sempre più </w:t>
      </w:r>
      <w:r w:rsidR="00D24D42" w:rsidRPr="00475DC2">
        <w:rPr>
          <w:rFonts w:ascii="Arial" w:hAnsi="Arial" w:cs="Arial"/>
          <w:b/>
          <w:bCs/>
          <w:sz w:val="23"/>
          <w:szCs w:val="23"/>
        </w:rPr>
        <w:t>centrale</w:t>
      </w:r>
      <w:r w:rsidR="00D24D42" w:rsidRPr="00475DC2">
        <w:rPr>
          <w:rFonts w:ascii="Arial" w:hAnsi="Arial" w:cs="Arial"/>
          <w:sz w:val="23"/>
          <w:szCs w:val="23"/>
        </w:rPr>
        <w:t xml:space="preserve"> </w:t>
      </w:r>
      <w:r w:rsidR="0065396B" w:rsidRPr="00475DC2">
        <w:rPr>
          <w:rFonts w:ascii="Arial" w:hAnsi="Arial" w:cs="Arial"/>
          <w:sz w:val="23"/>
          <w:szCs w:val="23"/>
        </w:rPr>
        <w:lastRenderedPageBreak/>
        <w:t>grazie all’attività e ai risultati conseguiti dal nostro Consiglio Nazionale come, ad esempio,</w:t>
      </w:r>
      <w:r w:rsidR="0048453F" w:rsidRPr="00475DC2">
        <w:rPr>
          <w:rFonts w:ascii="Arial" w:hAnsi="Arial" w:cs="Arial"/>
          <w:sz w:val="23"/>
          <w:szCs w:val="23"/>
        </w:rPr>
        <w:t xml:space="preserve"> </w:t>
      </w:r>
      <w:r w:rsidR="0048453F" w:rsidRPr="00475DC2">
        <w:rPr>
          <w:rFonts w:ascii="Arial" w:hAnsi="Arial" w:cs="Arial"/>
          <w:b/>
          <w:bCs/>
          <w:sz w:val="23"/>
          <w:szCs w:val="23"/>
        </w:rPr>
        <w:t xml:space="preserve">l’ammissione anche dei laureati in economia </w:t>
      </w:r>
      <w:r w:rsidR="0048453F" w:rsidRPr="00475DC2">
        <w:rPr>
          <w:rFonts w:ascii="Arial" w:eastAsia="Times New Roman" w:hAnsi="Arial" w:cs="Arial"/>
          <w:b/>
          <w:bCs/>
          <w:sz w:val="23"/>
          <w:szCs w:val="23"/>
          <w:bdr w:val="none" w:sz="0" w:space="0" w:color="auto" w:frame="1"/>
        </w:rPr>
        <w:t>al concorso</w:t>
      </w:r>
      <w:r w:rsidR="0048453F" w:rsidRPr="00475DC2">
        <w:rPr>
          <w:rFonts w:ascii="Arial" w:eastAsia="Times New Roman" w:hAnsi="Arial" w:cs="Arial"/>
          <w:sz w:val="23"/>
          <w:szCs w:val="23"/>
          <w:bdr w:val="none" w:sz="0" w:space="0" w:color="auto" w:frame="1"/>
        </w:rPr>
        <w:t xml:space="preserve"> per </w:t>
      </w:r>
      <w:r w:rsidR="0048453F" w:rsidRPr="00475DC2">
        <w:rPr>
          <w:rFonts w:ascii="Arial" w:eastAsia="Times New Roman" w:hAnsi="Arial" w:cs="Arial"/>
          <w:b/>
          <w:bCs/>
          <w:sz w:val="23"/>
          <w:szCs w:val="23"/>
          <w:bdr w:val="none" w:sz="0" w:space="0" w:color="auto" w:frame="1"/>
        </w:rPr>
        <w:t>la nomina a magistrato tributario</w:t>
      </w:r>
      <w:r w:rsidR="0048453F" w:rsidRPr="00475DC2">
        <w:rPr>
          <w:rFonts w:ascii="Arial" w:eastAsia="Times New Roman" w:hAnsi="Arial" w:cs="Arial"/>
          <w:sz w:val="23"/>
          <w:szCs w:val="23"/>
          <w:bdr w:val="none" w:sz="0" w:space="0" w:color="auto" w:frame="1"/>
        </w:rPr>
        <w:t>. Una scelta che garantisce</w:t>
      </w:r>
      <w:r w:rsidR="00D24D42" w:rsidRPr="00475DC2">
        <w:rPr>
          <w:rFonts w:ascii="Arial" w:eastAsia="Times New Roman" w:hAnsi="Arial" w:cs="Arial"/>
          <w:sz w:val="23"/>
          <w:szCs w:val="23"/>
          <w:bdr w:val="none" w:sz="0" w:space="0" w:color="auto" w:frame="1"/>
        </w:rPr>
        <w:t xml:space="preserve"> alla giustizia tributaria italiana l’apporto di competenze tecnico-professionali imprescindibili che fanno parte del nostro bagaglio formativo”. </w:t>
      </w:r>
    </w:p>
    <w:p w14:paraId="1CBF97EE" w14:textId="77777777" w:rsidR="00D24D42" w:rsidRPr="00475DC2" w:rsidRDefault="00D24D42" w:rsidP="00991C9B">
      <w:pPr>
        <w:autoSpaceDE w:val="0"/>
        <w:autoSpaceDN w:val="0"/>
        <w:adjustRightInd w:val="0"/>
        <w:jc w:val="both"/>
        <w:rPr>
          <w:rFonts w:ascii="Arial" w:hAnsi="Arial" w:cs="Arial"/>
          <w:sz w:val="23"/>
          <w:szCs w:val="23"/>
        </w:rPr>
      </w:pPr>
    </w:p>
    <w:sectPr w:rsidR="00D24D42" w:rsidRPr="00475DC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D0CC7" w14:textId="77777777" w:rsidR="00DF5D93" w:rsidRDefault="00DF5D93" w:rsidP="008A20F9">
      <w:r>
        <w:separator/>
      </w:r>
    </w:p>
  </w:endnote>
  <w:endnote w:type="continuationSeparator" w:id="0">
    <w:p w14:paraId="3F5C6240" w14:textId="77777777" w:rsidR="00DF5D93" w:rsidRDefault="00DF5D93" w:rsidP="008A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54CAF" w14:textId="77777777" w:rsidR="00DF5D93" w:rsidRDefault="00DF5D93" w:rsidP="008A20F9">
      <w:r>
        <w:separator/>
      </w:r>
    </w:p>
  </w:footnote>
  <w:footnote w:type="continuationSeparator" w:id="0">
    <w:p w14:paraId="10D8F633" w14:textId="77777777" w:rsidR="00DF5D93" w:rsidRDefault="00DF5D93" w:rsidP="008A2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532D2" w14:textId="562070C8" w:rsidR="001322E2" w:rsidRDefault="001B5BB0" w:rsidP="001B5BB0">
    <w:pPr>
      <w:pStyle w:val="Intestazione"/>
      <w:jc w:val="center"/>
      <w:rPr>
        <w:noProof/>
      </w:rPr>
    </w:pPr>
    <w:r>
      <w:rPr>
        <w:noProof/>
      </w:rPr>
      <w:drawing>
        <wp:inline distT="0" distB="0" distL="0" distR="0" wp14:anchorId="35939022" wp14:editId="276F8827">
          <wp:extent cx="1989777" cy="1085850"/>
          <wp:effectExtent l="0" t="0" r="0" b="0"/>
          <wp:docPr id="2" name="Immagine 1" descr="Immagine che contiene testo, Carattere,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testo, Carattere, schermata,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289" cy="1086129"/>
                  </a:xfrm>
                  <a:prstGeom prst="rect">
                    <a:avLst/>
                  </a:prstGeom>
                  <a:noFill/>
                  <a:ln>
                    <a:noFill/>
                  </a:ln>
                </pic:spPr>
              </pic:pic>
            </a:graphicData>
          </a:graphic>
        </wp:inline>
      </w:drawing>
    </w:r>
    <w:r w:rsidR="001322E2">
      <w:rPr>
        <w:noProof/>
      </w:rPr>
      <w:drawing>
        <wp:inline distT="0" distB="0" distL="0" distR="0" wp14:anchorId="49910EC4" wp14:editId="4CC94947">
          <wp:extent cx="2183130" cy="741045"/>
          <wp:effectExtent l="0" t="0" r="0" b="1905"/>
          <wp:docPr id="1821521868" name="Immagine 1" descr="Immagine che contiene Elementi grafici,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521868" name="Immagine 1" descr="Immagine che contiene Elementi grafici, arte&#10;&#10;Descrizione generata automa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83130" cy="741045"/>
                  </a:xfrm>
                  <a:prstGeom prst="rect">
                    <a:avLst/>
                  </a:prstGeom>
                </pic:spPr>
              </pic:pic>
            </a:graphicData>
          </a:graphic>
        </wp:inline>
      </w:drawing>
    </w:r>
  </w:p>
  <w:p w14:paraId="2E717BB2" w14:textId="77777777" w:rsidR="001322E2" w:rsidRDefault="001322E2" w:rsidP="001322E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ABD5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21D51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3F36B1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9799A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EE6472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F3B57D5"/>
    <w:multiLevelType w:val="hybridMultilevel"/>
    <w:tmpl w:val="5C92A8B4"/>
    <w:lvl w:ilvl="0" w:tplc="A68CE26E">
      <w:numFmt w:val="bullet"/>
      <w:lvlText w:val="-"/>
      <w:lvlJc w:val="left"/>
      <w:pPr>
        <w:ind w:left="450" w:hanging="360"/>
      </w:pPr>
      <w:rPr>
        <w:rFonts w:ascii="inherit" w:eastAsia="Times New Roman" w:hAnsi="inherit" w:cs="Courier New" w:hint="default"/>
      </w:rPr>
    </w:lvl>
    <w:lvl w:ilvl="1" w:tplc="04100003" w:tentative="1">
      <w:start w:val="1"/>
      <w:numFmt w:val="bullet"/>
      <w:lvlText w:val="o"/>
      <w:lvlJc w:val="left"/>
      <w:pPr>
        <w:ind w:left="1170" w:hanging="360"/>
      </w:pPr>
      <w:rPr>
        <w:rFonts w:ascii="Courier New" w:hAnsi="Courier New" w:cs="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cs="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cs="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6" w15:restartNumberingAfterBreak="0">
    <w:nsid w:val="2AB630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EA9CB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7DE18D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31981567">
    <w:abstractNumId w:val="5"/>
  </w:num>
  <w:num w:numId="2" w16cid:durableId="602764990">
    <w:abstractNumId w:val="1"/>
  </w:num>
  <w:num w:numId="3" w16cid:durableId="1000501617">
    <w:abstractNumId w:val="2"/>
  </w:num>
  <w:num w:numId="4" w16cid:durableId="1178426182">
    <w:abstractNumId w:val="3"/>
  </w:num>
  <w:num w:numId="5" w16cid:durableId="23793651">
    <w:abstractNumId w:val="8"/>
  </w:num>
  <w:num w:numId="6" w16cid:durableId="114446416">
    <w:abstractNumId w:val="4"/>
  </w:num>
  <w:num w:numId="7" w16cid:durableId="1970359347">
    <w:abstractNumId w:val="6"/>
  </w:num>
  <w:num w:numId="8" w16cid:durableId="190268915">
    <w:abstractNumId w:val="7"/>
  </w:num>
  <w:num w:numId="9" w16cid:durableId="1055010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F9"/>
    <w:rsid w:val="00031211"/>
    <w:rsid w:val="00057ECC"/>
    <w:rsid w:val="00062DB2"/>
    <w:rsid w:val="00072A06"/>
    <w:rsid w:val="00094814"/>
    <w:rsid w:val="000C77CE"/>
    <w:rsid w:val="000D1E5C"/>
    <w:rsid w:val="000D3FC7"/>
    <w:rsid w:val="000F1CC1"/>
    <w:rsid w:val="001322E2"/>
    <w:rsid w:val="0018228F"/>
    <w:rsid w:val="001A5B2B"/>
    <w:rsid w:val="001A7449"/>
    <w:rsid w:val="001B5BB0"/>
    <w:rsid w:val="001C2576"/>
    <w:rsid w:val="001D0398"/>
    <w:rsid w:val="001D4C69"/>
    <w:rsid w:val="001D4FE4"/>
    <w:rsid w:val="0020447F"/>
    <w:rsid w:val="002330A2"/>
    <w:rsid w:val="0024263F"/>
    <w:rsid w:val="0024610E"/>
    <w:rsid w:val="00246292"/>
    <w:rsid w:val="00263457"/>
    <w:rsid w:val="00273BB9"/>
    <w:rsid w:val="00274382"/>
    <w:rsid w:val="00275AC0"/>
    <w:rsid w:val="002957A8"/>
    <w:rsid w:val="002B6428"/>
    <w:rsid w:val="002D153D"/>
    <w:rsid w:val="002E445A"/>
    <w:rsid w:val="002E67F6"/>
    <w:rsid w:val="002F28B2"/>
    <w:rsid w:val="00301A37"/>
    <w:rsid w:val="00312B18"/>
    <w:rsid w:val="003205C3"/>
    <w:rsid w:val="00336F75"/>
    <w:rsid w:val="00346C92"/>
    <w:rsid w:val="003507E0"/>
    <w:rsid w:val="003566C8"/>
    <w:rsid w:val="00396974"/>
    <w:rsid w:val="003B7FE9"/>
    <w:rsid w:val="003C4E2B"/>
    <w:rsid w:val="003C4E56"/>
    <w:rsid w:val="003D52A1"/>
    <w:rsid w:val="004211FD"/>
    <w:rsid w:val="00423A7B"/>
    <w:rsid w:val="00431A4E"/>
    <w:rsid w:val="004547E1"/>
    <w:rsid w:val="004629E1"/>
    <w:rsid w:val="00475DC2"/>
    <w:rsid w:val="0048453F"/>
    <w:rsid w:val="00492102"/>
    <w:rsid w:val="004A2F36"/>
    <w:rsid w:val="004A52D9"/>
    <w:rsid w:val="004B0165"/>
    <w:rsid w:val="004B1D33"/>
    <w:rsid w:val="004B58AE"/>
    <w:rsid w:val="004B7FDF"/>
    <w:rsid w:val="004C60D3"/>
    <w:rsid w:val="004D4F49"/>
    <w:rsid w:val="004D7A70"/>
    <w:rsid w:val="004F5A82"/>
    <w:rsid w:val="005012D7"/>
    <w:rsid w:val="005043FB"/>
    <w:rsid w:val="00505E0A"/>
    <w:rsid w:val="005168F9"/>
    <w:rsid w:val="00524B93"/>
    <w:rsid w:val="005255B2"/>
    <w:rsid w:val="00531B55"/>
    <w:rsid w:val="00543953"/>
    <w:rsid w:val="00581729"/>
    <w:rsid w:val="00582A23"/>
    <w:rsid w:val="005960E9"/>
    <w:rsid w:val="005D5E6A"/>
    <w:rsid w:val="0062115D"/>
    <w:rsid w:val="006359F9"/>
    <w:rsid w:val="00636CE6"/>
    <w:rsid w:val="00642003"/>
    <w:rsid w:val="00651870"/>
    <w:rsid w:val="0065396B"/>
    <w:rsid w:val="00663ECE"/>
    <w:rsid w:val="006A2684"/>
    <w:rsid w:val="006B62A7"/>
    <w:rsid w:val="006C2F7D"/>
    <w:rsid w:val="006D222D"/>
    <w:rsid w:val="006E14F0"/>
    <w:rsid w:val="00702C19"/>
    <w:rsid w:val="007203B6"/>
    <w:rsid w:val="00732B28"/>
    <w:rsid w:val="00754333"/>
    <w:rsid w:val="00764982"/>
    <w:rsid w:val="00775656"/>
    <w:rsid w:val="0078700B"/>
    <w:rsid w:val="00795D38"/>
    <w:rsid w:val="007A5762"/>
    <w:rsid w:val="007B5BCD"/>
    <w:rsid w:val="007F2042"/>
    <w:rsid w:val="008511D0"/>
    <w:rsid w:val="00895C49"/>
    <w:rsid w:val="008A20F9"/>
    <w:rsid w:val="008A3007"/>
    <w:rsid w:val="008B4082"/>
    <w:rsid w:val="008D15CD"/>
    <w:rsid w:val="0090611A"/>
    <w:rsid w:val="009079FD"/>
    <w:rsid w:val="00911316"/>
    <w:rsid w:val="00924285"/>
    <w:rsid w:val="00935A37"/>
    <w:rsid w:val="00944E14"/>
    <w:rsid w:val="00971DE9"/>
    <w:rsid w:val="00991C9B"/>
    <w:rsid w:val="009B6A20"/>
    <w:rsid w:val="009D397A"/>
    <w:rsid w:val="009E35D8"/>
    <w:rsid w:val="009E6DFF"/>
    <w:rsid w:val="009E7612"/>
    <w:rsid w:val="009F1BED"/>
    <w:rsid w:val="009F4D5C"/>
    <w:rsid w:val="00A124B5"/>
    <w:rsid w:val="00A12D0E"/>
    <w:rsid w:val="00A24A06"/>
    <w:rsid w:val="00A25E53"/>
    <w:rsid w:val="00A26B9D"/>
    <w:rsid w:val="00A456AF"/>
    <w:rsid w:val="00A52B3D"/>
    <w:rsid w:val="00A6727B"/>
    <w:rsid w:val="00AC082F"/>
    <w:rsid w:val="00AC0D9E"/>
    <w:rsid w:val="00AD683B"/>
    <w:rsid w:val="00AF1A45"/>
    <w:rsid w:val="00B1708E"/>
    <w:rsid w:val="00B4374F"/>
    <w:rsid w:val="00B71001"/>
    <w:rsid w:val="00B9791C"/>
    <w:rsid w:val="00BA690D"/>
    <w:rsid w:val="00BB5C41"/>
    <w:rsid w:val="00BC0D5E"/>
    <w:rsid w:val="00BD45E2"/>
    <w:rsid w:val="00BF0F6C"/>
    <w:rsid w:val="00BF3014"/>
    <w:rsid w:val="00BF7B31"/>
    <w:rsid w:val="00C13394"/>
    <w:rsid w:val="00C51CDA"/>
    <w:rsid w:val="00C56162"/>
    <w:rsid w:val="00C72751"/>
    <w:rsid w:val="00CA12E0"/>
    <w:rsid w:val="00CA7F23"/>
    <w:rsid w:val="00CE38C2"/>
    <w:rsid w:val="00D070AD"/>
    <w:rsid w:val="00D24D42"/>
    <w:rsid w:val="00D40E0C"/>
    <w:rsid w:val="00D41394"/>
    <w:rsid w:val="00D52088"/>
    <w:rsid w:val="00D706F6"/>
    <w:rsid w:val="00D730BD"/>
    <w:rsid w:val="00DB6ABB"/>
    <w:rsid w:val="00DF5D93"/>
    <w:rsid w:val="00E03798"/>
    <w:rsid w:val="00E1797C"/>
    <w:rsid w:val="00E26BE2"/>
    <w:rsid w:val="00E322D5"/>
    <w:rsid w:val="00E34BB0"/>
    <w:rsid w:val="00E646A4"/>
    <w:rsid w:val="00E6490E"/>
    <w:rsid w:val="00E8677B"/>
    <w:rsid w:val="00EC353A"/>
    <w:rsid w:val="00ED27C6"/>
    <w:rsid w:val="00EE6063"/>
    <w:rsid w:val="00EF485E"/>
    <w:rsid w:val="00F010A2"/>
    <w:rsid w:val="00F01297"/>
    <w:rsid w:val="00F17684"/>
    <w:rsid w:val="00F2721F"/>
    <w:rsid w:val="00F35F53"/>
    <w:rsid w:val="00F4277A"/>
    <w:rsid w:val="00F50C9B"/>
    <w:rsid w:val="00F61475"/>
    <w:rsid w:val="00F709C1"/>
    <w:rsid w:val="00F72001"/>
    <w:rsid w:val="00F848F6"/>
    <w:rsid w:val="00F94166"/>
    <w:rsid w:val="00FA625D"/>
    <w:rsid w:val="00FC13C9"/>
    <w:rsid w:val="00FD0922"/>
    <w:rsid w:val="00FD2478"/>
    <w:rsid w:val="00FD69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EAA4"/>
  <w15:chartTrackingRefBased/>
  <w15:docId w15:val="{736153C9-E62D-42C8-85B8-9DF4C538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2A06"/>
    <w:pPr>
      <w:spacing w:after="0" w:line="240" w:lineRule="auto"/>
    </w:pPr>
    <w:rPr>
      <w:rFonts w:ascii="Aptos" w:hAnsi="Aptos" w:cs="Aptos"/>
      <w:kern w:val="0"/>
      <w:lang w:eastAsia="it-IT"/>
      <w14:ligatures w14:val="none"/>
    </w:rPr>
  </w:style>
  <w:style w:type="paragraph" w:styleId="Titolo1">
    <w:name w:val="heading 1"/>
    <w:basedOn w:val="Normale"/>
    <w:next w:val="Normale"/>
    <w:link w:val="Titolo1Carattere"/>
    <w:uiPriority w:val="9"/>
    <w:qFormat/>
    <w:rsid w:val="006359F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6359F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6359F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6359F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6359F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6359F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6359F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6359F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6359F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59F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359F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359F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359F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359F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359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59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59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59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59F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6359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59F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6359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59F9"/>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6359F9"/>
    <w:rPr>
      <w:i/>
      <w:iCs/>
      <w:color w:val="404040" w:themeColor="text1" w:themeTint="BF"/>
    </w:rPr>
  </w:style>
  <w:style w:type="paragraph" w:styleId="Paragrafoelenco">
    <w:name w:val="List Paragraph"/>
    <w:basedOn w:val="Normale"/>
    <w:uiPriority w:val="34"/>
    <w:qFormat/>
    <w:rsid w:val="006359F9"/>
    <w:pPr>
      <w:spacing w:after="160" w:line="278" w:lineRule="auto"/>
      <w:ind w:left="720"/>
      <w:contextualSpacing/>
    </w:pPr>
    <w:rPr>
      <w:rFonts w:ascii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6359F9"/>
    <w:rPr>
      <w:i/>
      <w:iCs/>
      <w:color w:val="0F4761" w:themeColor="accent1" w:themeShade="BF"/>
    </w:rPr>
  </w:style>
  <w:style w:type="paragraph" w:styleId="Citazioneintensa">
    <w:name w:val="Intense Quote"/>
    <w:basedOn w:val="Normale"/>
    <w:next w:val="Normale"/>
    <w:link w:val="CitazioneintensaCarattere"/>
    <w:uiPriority w:val="30"/>
    <w:qFormat/>
    <w:rsid w:val="006359F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6359F9"/>
    <w:rPr>
      <w:i/>
      <w:iCs/>
      <w:color w:val="0F4761" w:themeColor="accent1" w:themeShade="BF"/>
    </w:rPr>
  </w:style>
  <w:style w:type="character" w:styleId="Riferimentointenso">
    <w:name w:val="Intense Reference"/>
    <w:basedOn w:val="Carpredefinitoparagrafo"/>
    <w:uiPriority w:val="32"/>
    <w:qFormat/>
    <w:rsid w:val="006359F9"/>
    <w:rPr>
      <w:b/>
      <w:bCs/>
      <w:smallCaps/>
      <w:color w:val="0F4761" w:themeColor="accent1" w:themeShade="BF"/>
      <w:spacing w:val="5"/>
    </w:rPr>
  </w:style>
  <w:style w:type="character" w:styleId="Enfasigrassetto">
    <w:name w:val="Strong"/>
    <w:basedOn w:val="Carpredefinitoparagrafo"/>
    <w:uiPriority w:val="22"/>
    <w:qFormat/>
    <w:rsid w:val="00EC353A"/>
    <w:rPr>
      <w:b/>
      <w:bCs/>
    </w:rPr>
  </w:style>
  <w:style w:type="character" w:styleId="Enfasicorsivo">
    <w:name w:val="Emphasis"/>
    <w:basedOn w:val="Carpredefinitoparagrafo"/>
    <w:uiPriority w:val="20"/>
    <w:qFormat/>
    <w:rsid w:val="00EC353A"/>
    <w:rPr>
      <w:i/>
      <w:iCs/>
    </w:rPr>
  </w:style>
  <w:style w:type="paragraph" w:styleId="NormaleWeb">
    <w:name w:val="Normal (Web)"/>
    <w:basedOn w:val="Normale"/>
    <w:uiPriority w:val="99"/>
    <w:unhideWhenUsed/>
    <w:rsid w:val="00EC353A"/>
    <w:pPr>
      <w:spacing w:before="100" w:beforeAutospacing="1" w:after="100" w:afterAutospacing="1"/>
    </w:pPr>
    <w:rPr>
      <w:rFonts w:ascii="Times New Roman" w:eastAsia="Times New Roman" w:hAnsi="Times New Roman" w:cs="Times New Roman"/>
    </w:rPr>
  </w:style>
  <w:style w:type="paragraph" w:styleId="Intestazione">
    <w:name w:val="header"/>
    <w:basedOn w:val="Normale"/>
    <w:link w:val="IntestazioneCarattere"/>
    <w:uiPriority w:val="99"/>
    <w:unhideWhenUsed/>
    <w:rsid w:val="008A20F9"/>
    <w:pPr>
      <w:tabs>
        <w:tab w:val="center" w:pos="4819"/>
        <w:tab w:val="right" w:pos="9638"/>
      </w:tabs>
    </w:pPr>
    <w:rPr>
      <w:rFonts w:ascii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8A20F9"/>
  </w:style>
  <w:style w:type="paragraph" w:styleId="Pidipagina">
    <w:name w:val="footer"/>
    <w:basedOn w:val="Normale"/>
    <w:link w:val="PidipaginaCarattere"/>
    <w:uiPriority w:val="99"/>
    <w:unhideWhenUsed/>
    <w:rsid w:val="008A20F9"/>
    <w:pPr>
      <w:tabs>
        <w:tab w:val="center" w:pos="4819"/>
        <w:tab w:val="right" w:pos="9638"/>
      </w:tabs>
    </w:pPr>
  </w:style>
  <w:style w:type="character" w:customStyle="1" w:styleId="PidipaginaCarattere">
    <w:name w:val="Piè di pagina Carattere"/>
    <w:basedOn w:val="Carpredefinitoparagrafo"/>
    <w:link w:val="Pidipagina"/>
    <w:uiPriority w:val="99"/>
    <w:rsid w:val="008A20F9"/>
  </w:style>
  <w:style w:type="paragraph" w:styleId="PreformattatoHTML">
    <w:name w:val="HTML Preformatted"/>
    <w:basedOn w:val="Normale"/>
    <w:link w:val="PreformattatoHTMLCarattere"/>
    <w:uiPriority w:val="99"/>
    <w:semiHidden/>
    <w:unhideWhenUsed/>
    <w:rsid w:val="008B4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8B4082"/>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8B4082"/>
  </w:style>
  <w:style w:type="paragraph" w:customStyle="1" w:styleId="Default">
    <w:name w:val="Default"/>
    <w:rsid w:val="003D52A1"/>
    <w:pPr>
      <w:autoSpaceDE w:val="0"/>
      <w:autoSpaceDN w:val="0"/>
      <w:adjustRightInd w:val="0"/>
      <w:spacing w:after="0" w:line="240" w:lineRule="auto"/>
    </w:pPr>
    <w:rPr>
      <w:rFonts w:ascii="Arial" w:hAnsi="Arial" w:cs="Arial"/>
      <w:color w:val="000000"/>
      <w:kern w:val="0"/>
    </w:rPr>
  </w:style>
  <w:style w:type="table" w:styleId="Grigliatabella">
    <w:name w:val="Table Grid"/>
    <w:basedOn w:val="Tabellanormale"/>
    <w:uiPriority w:val="39"/>
    <w:rsid w:val="008A3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B5C41"/>
    <w:rPr>
      <w:color w:val="467886" w:themeColor="hyperlink"/>
      <w:u w:val="single"/>
    </w:rPr>
  </w:style>
  <w:style w:type="character" w:styleId="Menzionenonrisolta">
    <w:name w:val="Unresolved Mention"/>
    <w:basedOn w:val="Carpredefinitoparagrafo"/>
    <w:uiPriority w:val="99"/>
    <w:semiHidden/>
    <w:unhideWhenUsed/>
    <w:rsid w:val="00BB5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88814">
      <w:bodyDiv w:val="1"/>
      <w:marLeft w:val="0"/>
      <w:marRight w:val="0"/>
      <w:marTop w:val="0"/>
      <w:marBottom w:val="0"/>
      <w:divBdr>
        <w:top w:val="none" w:sz="0" w:space="0" w:color="auto"/>
        <w:left w:val="none" w:sz="0" w:space="0" w:color="auto"/>
        <w:bottom w:val="none" w:sz="0" w:space="0" w:color="auto"/>
        <w:right w:val="none" w:sz="0" w:space="0" w:color="auto"/>
      </w:divBdr>
    </w:div>
    <w:div w:id="502017178">
      <w:bodyDiv w:val="1"/>
      <w:marLeft w:val="0"/>
      <w:marRight w:val="0"/>
      <w:marTop w:val="0"/>
      <w:marBottom w:val="0"/>
      <w:divBdr>
        <w:top w:val="none" w:sz="0" w:space="0" w:color="auto"/>
        <w:left w:val="none" w:sz="0" w:space="0" w:color="auto"/>
        <w:bottom w:val="none" w:sz="0" w:space="0" w:color="auto"/>
        <w:right w:val="none" w:sz="0" w:space="0" w:color="auto"/>
      </w:divBdr>
    </w:div>
    <w:div w:id="209330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6E958-2D24-41A9-9F94-FAEC29EB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568</Words>
  <Characters>3243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32</cp:revision>
  <dcterms:created xsi:type="dcterms:W3CDTF">2024-11-22T11:40:00Z</dcterms:created>
  <dcterms:modified xsi:type="dcterms:W3CDTF">2024-12-02T13:32:00Z</dcterms:modified>
</cp:coreProperties>
</file>