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B4AE2" w14:textId="77777777" w:rsidR="009E7020" w:rsidRPr="007C37BD" w:rsidRDefault="009E7020" w:rsidP="009E70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FB9BF7" w14:textId="77777777" w:rsidR="009E7020" w:rsidRPr="005E06CE" w:rsidRDefault="009E7020" w:rsidP="005E06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D382A66" w14:textId="77777777" w:rsidR="005E06CE" w:rsidRPr="005E06CE" w:rsidRDefault="005E06CE" w:rsidP="005E0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2EBF58E8" w14:textId="77777777" w:rsidR="005E06CE" w:rsidRPr="005E06CE" w:rsidRDefault="005E06CE" w:rsidP="005E0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 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7DC28B8D" w14:textId="77777777" w:rsidR="005E06CE" w:rsidRPr="005E06CE" w:rsidRDefault="005E06CE" w:rsidP="005E0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COMMERCIALISTI: SERVONO INDICAZIONI UNIVOCHE SUL REGISTRO DEI TITOLARI EFFETTIVI</w:t>
      </w:r>
    </w:p>
    <w:p w14:paraId="2B70A72C" w14:textId="77777777" w:rsidR="005E06CE" w:rsidRPr="005E06CE" w:rsidRDefault="005E06CE" w:rsidP="005E0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BC9FBB5" w14:textId="77777777" w:rsidR="005E06CE" w:rsidRPr="005E06CE" w:rsidRDefault="005E06CE" w:rsidP="005E06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Lettera di de Nuccio a Giorgetti e Urso: “La situazione sta generando numerosi problemi interpretativi per imprese e commercialisti. Occorre una sospensione totale del sistema. No ad accertamenti e sanzioni”</w:t>
      </w:r>
    </w:p>
    <w:p w14:paraId="2ECA157D" w14:textId="77777777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  </w:t>
      </w:r>
    </w:p>
    <w:p w14:paraId="19A721DF" w14:textId="1DE7F2A6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i/>
          <w:iCs/>
          <w:sz w:val="24"/>
          <w:szCs w:val="24"/>
        </w:rPr>
        <w:t xml:space="preserve">Roma, </w:t>
      </w:r>
      <w:r w:rsidRPr="005E06CE">
        <w:rPr>
          <w:rFonts w:ascii="Arial" w:hAnsi="Arial" w:cs="Arial"/>
          <w:i/>
          <w:iCs/>
          <w:color w:val="000000"/>
          <w:sz w:val="24"/>
          <w:szCs w:val="24"/>
        </w:rPr>
        <w:t xml:space="preserve">25 novembre 2025 </w:t>
      </w:r>
      <w:r w:rsidRPr="005E06CE">
        <w:rPr>
          <w:rFonts w:ascii="Arial" w:hAnsi="Arial" w:cs="Arial"/>
          <w:i/>
          <w:iCs/>
          <w:sz w:val="24"/>
          <w:szCs w:val="24"/>
        </w:rPr>
        <w:t xml:space="preserve">– 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“Il Consiglio di Stato ha rimesso alla Corte di Giustizia UE le questioni attinenti alle comunicazioni relative alla titolarità effettiva di trust e istituti giuridici affini, determinando in tal modo la sospensione dell’operatività del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Registro dei titolari effettivi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. In attesa che la Corte europea si pronunci, appare di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estrema urgenza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 ottenere indicazioni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univoche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 in merito alla concreta operatività del Registro”. </w:t>
      </w:r>
      <w:r w:rsidRPr="005E06CE">
        <w:rPr>
          <w:rFonts w:ascii="Arial" w:hAnsi="Arial" w:cs="Arial"/>
          <w:sz w:val="24"/>
          <w:szCs w:val="24"/>
        </w:rPr>
        <w:t xml:space="preserve">È 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quanto afferma il presidente del Consiglio nazionale dei commercialisti,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, in una lettera inviata oggi al Ministro dell’Economia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Giancarlo Giorgetti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, a quello delle Imprese e del Made In Italy,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Adolfo Urso</w:t>
      </w:r>
      <w:r w:rsidR="0040227A">
        <w:rPr>
          <w:rFonts w:ascii="Arial" w:hAnsi="Arial" w:cs="Arial"/>
          <w:color w:val="000000"/>
          <w:sz w:val="24"/>
          <w:szCs w:val="24"/>
        </w:rPr>
        <w:t>,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e al presidente di Unioncamere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Andrea Prete</w:t>
      </w:r>
      <w:r w:rsidRPr="005E06CE">
        <w:rPr>
          <w:rFonts w:ascii="Arial" w:hAnsi="Arial" w:cs="Arial"/>
          <w:color w:val="000000"/>
          <w:sz w:val="24"/>
          <w:szCs w:val="24"/>
        </w:rPr>
        <w:t>.</w:t>
      </w:r>
    </w:p>
    <w:p w14:paraId="3BCB2A19" w14:textId="77777777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 </w:t>
      </w:r>
    </w:p>
    <w:p w14:paraId="7C1AE2DC" w14:textId="47AA0A36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“Nonostante la sospensione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E06CE">
        <w:rPr>
          <w:rFonts w:ascii="Arial" w:hAnsi="Arial" w:cs="Arial"/>
          <w:color w:val="000000"/>
          <w:sz w:val="24"/>
          <w:szCs w:val="24"/>
        </w:rPr>
        <w:t>scrive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de Nuccio –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, le Camere di commercio stanno continuando ad accettare le comunicazioni di prima iscrizione, ovvero di conferma o variazione dei dati. Tale modus operandi sta generando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numerosi problemi interpretativi</w:t>
      </w:r>
      <w:r w:rsidRPr="005E06CE">
        <w:rPr>
          <w:rFonts w:ascii="Arial" w:hAnsi="Arial" w:cs="Arial"/>
          <w:color w:val="000000"/>
          <w:sz w:val="24"/>
          <w:szCs w:val="24"/>
        </w:rPr>
        <w:t> per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le </w:t>
      </w:r>
      <w:r w:rsidR="0040227A" w:rsidRPr="0040227A">
        <w:rPr>
          <w:rFonts w:ascii="Arial" w:hAnsi="Arial" w:cs="Arial"/>
          <w:b/>
          <w:bCs/>
          <w:color w:val="000000"/>
          <w:sz w:val="24"/>
          <w:szCs w:val="24"/>
        </w:rPr>
        <w:t>imprese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e per i </w:t>
      </w:r>
      <w:r w:rsidR="0040227A" w:rsidRPr="0040227A">
        <w:rPr>
          <w:rFonts w:ascii="Arial" w:hAnsi="Arial" w:cs="Arial"/>
          <w:b/>
          <w:bCs/>
          <w:color w:val="000000"/>
          <w:sz w:val="24"/>
          <w:szCs w:val="24"/>
        </w:rPr>
        <w:t>Commercialisti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che, pur </w:t>
      </w:r>
      <w:r w:rsidRPr="005E06CE">
        <w:rPr>
          <w:rFonts w:ascii="Arial" w:hAnsi="Arial" w:cs="Arial"/>
          <w:color w:val="000000"/>
          <w:sz w:val="24"/>
          <w:szCs w:val="24"/>
        </w:rPr>
        <w:t>consapevoli che la</w:t>
      </w:r>
      <w:r w:rsidR="0040227A">
        <w:rPr>
          <w:rFonts w:ascii="Arial" w:hAnsi="Arial" w:cs="Arial"/>
          <w:color w:val="000000"/>
          <w:sz w:val="24"/>
          <w:szCs w:val="24"/>
        </w:rPr>
        <w:t xml:space="preserve"> sospensione </w:t>
      </w:r>
      <w:r w:rsidRPr="005E06CE">
        <w:rPr>
          <w:rFonts w:ascii="Arial" w:hAnsi="Arial" w:cs="Arial"/>
          <w:color w:val="000000"/>
          <w:sz w:val="24"/>
          <w:szCs w:val="24"/>
        </w:rPr>
        <w:t>dell’operatività del Registro importa quale conseguenza il blocco integrale del sistema, vedono abilitata sul sistema anche la funzione di ricezione delle comunicazioni di conferma annuale dei dati e legittimamente si interrogano sul corretto modo secondo cui operare per non incorrere in sanzioni”.</w:t>
      </w:r>
    </w:p>
    <w:p w14:paraId="2E7E13B3" w14:textId="77777777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 </w:t>
      </w:r>
    </w:p>
    <w:p w14:paraId="35C68495" w14:textId="77777777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Ulteriore elemento di “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disorientamento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 è il comportamento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non uniforme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 delle Camere di Commercio territoriali, che passano dall’invito ad effettuare la conferma annuale dei dati (es. CCIAA Treviso) a comunicazioni di sospensione di tutti gli adempimenti di comunicazione, variazione, conferma, consultazione (es. CCIAA Genova, Toscana nord-ovest). A fronte di questa situazione, si rende indispensabile un intervento di Codesti Ministeri volto ad indicare agli Enti camerali il comportamento uniforme da adottare in pendenza del giudizio della Corte UE; comportamento che non può che tradursi in una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sospensione totale del sistema</w:t>
      </w:r>
      <w:r w:rsidRPr="005E06CE">
        <w:rPr>
          <w:rFonts w:ascii="Arial" w:hAnsi="Arial" w:cs="Arial"/>
          <w:color w:val="000000"/>
          <w:sz w:val="24"/>
          <w:szCs w:val="24"/>
        </w:rPr>
        <w:t>, non solo per le richieste di accreditamento e per le attività di consultazione, ma anche per le comunicazioni”.</w:t>
      </w:r>
    </w:p>
    <w:p w14:paraId="1BD917B5" w14:textId="77777777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> </w:t>
      </w:r>
    </w:p>
    <w:p w14:paraId="726F2A7B" w14:textId="5B45386E" w:rsidR="005E06CE" w:rsidRPr="005E06CE" w:rsidRDefault="005E06CE" w:rsidP="005E06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6CE">
        <w:rPr>
          <w:rFonts w:ascii="Arial" w:hAnsi="Arial" w:cs="Arial"/>
          <w:color w:val="000000"/>
          <w:sz w:val="24"/>
          <w:szCs w:val="24"/>
        </w:rPr>
        <w:t xml:space="preserve">“In considerazione di quanto su rappresentato – conclude de Nuccio </w:t>
      </w:r>
      <w:r w:rsidR="0040227A">
        <w:rPr>
          <w:rFonts w:ascii="Arial" w:hAnsi="Arial" w:cs="Arial"/>
          <w:color w:val="000000"/>
          <w:sz w:val="24"/>
          <w:szCs w:val="24"/>
        </w:rPr>
        <w:t>–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 occorre chiarire ciò che appare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inevitabile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 dato il contesto che si è venuto a creare, ovvero che deve escludersi che le Camere di Commercio territoriali possano procedere all’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accertamento</w:t>
      </w:r>
      <w:r w:rsidRPr="005E06CE">
        <w:rPr>
          <w:rFonts w:ascii="Arial" w:hAnsi="Arial" w:cs="Arial"/>
          <w:color w:val="000000"/>
          <w:sz w:val="24"/>
          <w:szCs w:val="24"/>
        </w:rPr>
        <w:t xml:space="preserve"> di presunte violazioni e, di conseguenza, all’applicazione di </w:t>
      </w:r>
      <w:r w:rsidRPr="005E06CE">
        <w:rPr>
          <w:rFonts w:ascii="Arial" w:hAnsi="Arial" w:cs="Arial"/>
          <w:b/>
          <w:bCs/>
          <w:color w:val="000000"/>
          <w:sz w:val="24"/>
          <w:szCs w:val="24"/>
        </w:rPr>
        <w:t>sanzioni</w:t>
      </w:r>
      <w:r w:rsidRPr="005E06CE">
        <w:rPr>
          <w:rFonts w:ascii="Arial" w:hAnsi="Arial" w:cs="Arial"/>
          <w:color w:val="000000"/>
          <w:sz w:val="24"/>
          <w:szCs w:val="24"/>
        </w:rPr>
        <w:t> per omessa o tardiva comunicazione da parte dei soggetti obbligati, atteso che la sospensione dell’operatività del Registro ha fatto venir meno qualunque obbligo comunicativo”.</w:t>
      </w:r>
    </w:p>
    <w:p w14:paraId="2DBDA593" w14:textId="77777777" w:rsidR="005E06CE" w:rsidRPr="005E06CE" w:rsidRDefault="005E06CE" w:rsidP="005E06C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907B8F" w14:textId="7AFFAA60" w:rsidR="00886EAF" w:rsidRPr="005E06CE" w:rsidRDefault="00886EAF" w:rsidP="005E06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86EAF" w:rsidRPr="005E06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F8A81" w14:textId="77777777" w:rsidR="00A3304B" w:rsidRDefault="00A3304B" w:rsidP="009E7020">
      <w:pPr>
        <w:spacing w:after="0" w:line="240" w:lineRule="auto"/>
      </w:pPr>
      <w:r>
        <w:separator/>
      </w:r>
    </w:p>
  </w:endnote>
  <w:endnote w:type="continuationSeparator" w:id="0">
    <w:p w14:paraId="400F1626" w14:textId="77777777" w:rsidR="00A3304B" w:rsidRDefault="00A3304B" w:rsidP="009E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D924A" w14:textId="77777777" w:rsidR="00A3304B" w:rsidRDefault="00A3304B" w:rsidP="009E7020">
      <w:pPr>
        <w:spacing w:after="0" w:line="240" w:lineRule="auto"/>
      </w:pPr>
      <w:r>
        <w:separator/>
      </w:r>
    </w:p>
  </w:footnote>
  <w:footnote w:type="continuationSeparator" w:id="0">
    <w:p w14:paraId="05F9F33D" w14:textId="77777777" w:rsidR="00A3304B" w:rsidRDefault="00A3304B" w:rsidP="009E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F5C5" w14:textId="7EBAE532" w:rsidR="009E7020" w:rsidRDefault="009E7020" w:rsidP="009E7020">
    <w:pPr>
      <w:pStyle w:val="Intestazione"/>
      <w:jc w:val="center"/>
    </w:pPr>
    <w:r>
      <w:rPr>
        <w:noProof/>
      </w:rPr>
      <w:drawing>
        <wp:inline distT="0" distB="0" distL="0" distR="0" wp14:anchorId="62F79B49" wp14:editId="500D1D8E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F"/>
    <w:rsid w:val="00076324"/>
    <w:rsid w:val="0007655F"/>
    <w:rsid w:val="0008790A"/>
    <w:rsid w:val="000D52F6"/>
    <w:rsid w:val="000F1D00"/>
    <w:rsid w:val="00100C48"/>
    <w:rsid w:val="00111934"/>
    <w:rsid w:val="0012231B"/>
    <w:rsid w:val="0013251E"/>
    <w:rsid w:val="002037F9"/>
    <w:rsid w:val="00221448"/>
    <w:rsid w:val="00264582"/>
    <w:rsid w:val="00273FC4"/>
    <w:rsid w:val="002C0DF8"/>
    <w:rsid w:val="002E6C87"/>
    <w:rsid w:val="0040227A"/>
    <w:rsid w:val="00493D44"/>
    <w:rsid w:val="004C422D"/>
    <w:rsid w:val="005D2D2C"/>
    <w:rsid w:val="005E06CE"/>
    <w:rsid w:val="00641380"/>
    <w:rsid w:val="006A03A2"/>
    <w:rsid w:val="00746C58"/>
    <w:rsid w:val="00755377"/>
    <w:rsid w:val="0075699C"/>
    <w:rsid w:val="007C37BD"/>
    <w:rsid w:val="007E6A79"/>
    <w:rsid w:val="007F03B4"/>
    <w:rsid w:val="00812068"/>
    <w:rsid w:val="008353A8"/>
    <w:rsid w:val="00886EAF"/>
    <w:rsid w:val="0093440C"/>
    <w:rsid w:val="009714FF"/>
    <w:rsid w:val="009E7020"/>
    <w:rsid w:val="009F6E09"/>
    <w:rsid w:val="00A3304B"/>
    <w:rsid w:val="00A8724F"/>
    <w:rsid w:val="00B36709"/>
    <w:rsid w:val="00B53CEB"/>
    <w:rsid w:val="00BA5135"/>
    <w:rsid w:val="00C22784"/>
    <w:rsid w:val="00CB2938"/>
    <w:rsid w:val="00D5168C"/>
    <w:rsid w:val="00D56E0F"/>
    <w:rsid w:val="00D57444"/>
    <w:rsid w:val="00ED5402"/>
    <w:rsid w:val="00F250D9"/>
    <w:rsid w:val="00FD134E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3A4A"/>
  <w15:chartTrackingRefBased/>
  <w15:docId w15:val="{BDE6875F-C4DE-417E-9D00-6CA7C64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7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020"/>
  </w:style>
  <w:style w:type="paragraph" w:styleId="Pidipagina">
    <w:name w:val="footer"/>
    <w:basedOn w:val="Normale"/>
    <w:link w:val="PidipaginaCarattere"/>
    <w:uiPriority w:val="99"/>
    <w:unhideWhenUsed/>
    <w:rsid w:val="009E7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020"/>
  </w:style>
  <w:style w:type="paragraph" w:styleId="NormaleWeb">
    <w:name w:val="Normal (Web)"/>
    <w:basedOn w:val="Normale"/>
    <w:uiPriority w:val="99"/>
    <w:unhideWhenUsed/>
    <w:rsid w:val="006A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A03A2"/>
    <w:rPr>
      <w:b/>
      <w:bCs/>
    </w:rPr>
  </w:style>
  <w:style w:type="character" w:styleId="Enfasicorsivo">
    <w:name w:val="Emphasis"/>
    <w:basedOn w:val="Carpredefinitoparagrafo"/>
    <w:uiPriority w:val="20"/>
    <w:qFormat/>
    <w:rsid w:val="006A03A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A03A2"/>
    <w:rPr>
      <w:color w:val="0000FF"/>
      <w:u w:val="single"/>
    </w:rPr>
  </w:style>
  <w:style w:type="paragraph" w:customStyle="1" w:styleId="Default">
    <w:name w:val="Default"/>
    <w:rsid w:val="00111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Regalbuto Salvatore</dc:creator>
  <cp:keywords/>
  <dc:description/>
  <cp:lastModifiedBy>Mastrogiacomo Tiziana</cp:lastModifiedBy>
  <cp:revision>14</cp:revision>
  <dcterms:created xsi:type="dcterms:W3CDTF">2024-11-11T08:09:00Z</dcterms:created>
  <dcterms:modified xsi:type="dcterms:W3CDTF">2024-11-26T10:50:00Z</dcterms:modified>
</cp:coreProperties>
</file>