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B9BF7" w14:textId="77777777" w:rsidR="009E7020" w:rsidRPr="00600DE4" w:rsidRDefault="009E7020" w:rsidP="00600DE4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</w:p>
    <w:p w14:paraId="52BD05DF" w14:textId="0F71BB84" w:rsidR="002061C5" w:rsidRDefault="002061C5" w:rsidP="002061C5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t>Comunicato stampa</w:t>
      </w:r>
    </w:p>
    <w:p w14:paraId="64F9CA75" w14:textId="77777777" w:rsidR="002061C5" w:rsidRDefault="002061C5" w:rsidP="002061C5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3897218A" w14:textId="77777777" w:rsidR="002061C5" w:rsidRDefault="002061C5" w:rsidP="002061C5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CRISI D’IMPRESA, PUBBLICATO DAI COMMERCIALISTI IL DODICESIMO NUMERO DELL’OSSERVATORIO INTERNAZIONALE</w:t>
      </w:r>
    </w:p>
    <w:p w14:paraId="63EAC7DB" w14:textId="77777777" w:rsidR="002061C5" w:rsidRDefault="002061C5" w:rsidP="002061C5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18EE89B2" w14:textId="77777777" w:rsidR="002061C5" w:rsidRDefault="002061C5" w:rsidP="002061C5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Nel bollettino periodico curato da Consiglio e Fondazione nazionali della categoria sono commentate le novità legislative e giurisprudenziali relative all’insolvenza</w:t>
      </w:r>
    </w:p>
    <w:p w14:paraId="08DCB91A" w14:textId="77777777" w:rsidR="002061C5" w:rsidRDefault="002061C5" w:rsidP="002061C5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12252DFC" w14:textId="77777777" w:rsidR="002061C5" w:rsidRDefault="002061C5" w:rsidP="002061C5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Roma, 14 novembre 2024 -</w:t>
      </w:r>
      <w:r>
        <w:rPr>
          <w:rFonts w:ascii="Arial" w:hAnsi="Arial" w:cs="Arial"/>
          <w:color w:val="000000"/>
        </w:rPr>
        <w:t xml:space="preserve"> Il Consiglio e la Fondazione nazionali dei commercialisti hanno pubblicato il dodicesimo numero dell’</w:t>
      </w:r>
      <w:r>
        <w:rPr>
          <w:rFonts w:ascii="Arial" w:hAnsi="Arial" w:cs="Arial"/>
          <w:b/>
          <w:bCs/>
          <w:color w:val="000000"/>
        </w:rPr>
        <w:t>Osservatorio internazionale sulla crisi d' impresa</w:t>
      </w:r>
      <w:r>
        <w:rPr>
          <w:rFonts w:ascii="Arial" w:hAnsi="Arial" w:cs="Arial"/>
          <w:color w:val="000000"/>
        </w:rPr>
        <w:t>. Questo numero è dedicato al commento delle novità legislative e giurisprudenziali relative all’</w:t>
      </w:r>
      <w:r>
        <w:rPr>
          <w:rFonts w:ascii="Arial" w:hAnsi="Arial" w:cs="Arial"/>
          <w:b/>
          <w:bCs/>
          <w:color w:val="000000"/>
        </w:rPr>
        <w:t>insolvenza</w:t>
      </w:r>
      <w:r>
        <w:rPr>
          <w:rFonts w:ascii="Arial" w:hAnsi="Arial" w:cs="Arial"/>
          <w:color w:val="000000"/>
        </w:rPr>
        <w:t xml:space="preserve"> in ambito internazionale e transnazionale. Nelle sezioni e nei commenti predisposti dagli autori si annotano recenti modifiche legislative, rilevanti pronunce pubblicate negli ultimi mesi sull’insolvenza e sulla </w:t>
      </w:r>
      <w:r>
        <w:rPr>
          <w:rFonts w:ascii="Arial" w:hAnsi="Arial" w:cs="Arial"/>
          <w:b/>
          <w:bCs/>
          <w:color w:val="000000"/>
        </w:rPr>
        <w:t>ristrutturazione</w:t>
      </w:r>
      <w:r>
        <w:rPr>
          <w:rFonts w:ascii="Arial" w:hAnsi="Arial" w:cs="Arial"/>
          <w:color w:val="000000"/>
        </w:rPr>
        <w:t> in Europa e nel resto del mondo, nonché si segnalano interessanti novità per i professionisti del settore.</w:t>
      </w:r>
    </w:p>
    <w:p w14:paraId="00FC8F68" w14:textId="77777777" w:rsidR="002061C5" w:rsidRDefault="002061C5" w:rsidP="002061C5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3761D87E" w14:textId="77777777" w:rsidR="002061C5" w:rsidRDefault="002061C5" w:rsidP="002061C5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Per quanto attiene alla Normativa, le novità segnalate in questo numero del Bollettino focalizzano l’attenzione sull’entrata in vigore del d.lgs. 13 settembre 2024, n. 136 che ha modificato e integrato il </w:t>
      </w:r>
      <w:r>
        <w:rPr>
          <w:rFonts w:ascii="Arial" w:hAnsi="Arial" w:cs="Arial"/>
          <w:b/>
          <w:bCs/>
          <w:color w:val="000000"/>
        </w:rPr>
        <w:t>Codice della crisi d’impresa e dell’insolvenza</w:t>
      </w:r>
      <w:r>
        <w:rPr>
          <w:rFonts w:ascii="Arial" w:hAnsi="Arial" w:cs="Arial"/>
          <w:color w:val="000000"/>
        </w:rPr>
        <w:t>, riassumendone i contenuti di maggiore impatto per l’attività dei professionisti della crisi.</w:t>
      </w:r>
    </w:p>
    <w:p w14:paraId="154333F2" w14:textId="77777777" w:rsidR="002061C5" w:rsidRDefault="002061C5" w:rsidP="002061C5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3FBB193D" w14:textId="77777777" w:rsidR="002061C5" w:rsidRDefault="002061C5" w:rsidP="002061C5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Nella stessa prospettiva, si commentano le novità relative al periodo di sperimentazione della </w:t>
      </w:r>
      <w:r>
        <w:rPr>
          <w:rFonts w:ascii="Arial" w:hAnsi="Arial" w:cs="Arial"/>
          <w:b/>
          <w:bCs/>
          <w:color w:val="000000"/>
        </w:rPr>
        <w:t>legge n. 2023-1059</w:t>
      </w:r>
      <w:r>
        <w:rPr>
          <w:rFonts w:ascii="Arial" w:hAnsi="Arial" w:cs="Arial"/>
          <w:color w:val="000000"/>
        </w:rPr>
        <w:t xml:space="preserve"> che in </w:t>
      </w:r>
      <w:r>
        <w:rPr>
          <w:rFonts w:ascii="Arial" w:hAnsi="Arial" w:cs="Arial"/>
          <w:b/>
          <w:bCs/>
          <w:color w:val="000000"/>
        </w:rPr>
        <w:t xml:space="preserve">Francia </w:t>
      </w:r>
      <w:r>
        <w:rPr>
          <w:rFonts w:ascii="Arial" w:hAnsi="Arial" w:cs="Arial"/>
          <w:color w:val="000000"/>
        </w:rPr>
        <w:t xml:space="preserve">ha previsto l’istituzione dei </w:t>
      </w:r>
      <w:r>
        <w:rPr>
          <w:rFonts w:ascii="Arial" w:hAnsi="Arial" w:cs="Arial"/>
          <w:b/>
          <w:bCs/>
          <w:color w:val="000000"/>
        </w:rPr>
        <w:t>Tribunali delle Attività Economiche</w:t>
      </w:r>
      <w:r>
        <w:rPr>
          <w:rFonts w:ascii="Arial" w:hAnsi="Arial" w:cs="Arial"/>
          <w:color w:val="000000"/>
        </w:rPr>
        <w:t xml:space="preserve">, nonché quelle che riguardano i professionisti del </w:t>
      </w:r>
      <w:r>
        <w:rPr>
          <w:rFonts w:ascii="Arial" w:hAnsi="Arial" w:cs="Arial"/>
          <w:b/>
          <w:bCs/>
          <w:color w:val="000000"/>
        </w:rPr>
        <w:t>Regno Unito</w:t>
      </w:r>
      <w:r>
        <w:rPr>
          <w:rFonts w:ascii="Arial" w:hAnsi="Arial" w:cs="Arial"/>
          <w:color w:val="000000"/>
        </w:rPr>
        <w:t xml:space="preserve"> a seguito della pubblicazione del </w:t>
      </w:r>
      <w:proofErr w:type="spellStart"/>
      <w:r>
        <w:rPr>
          <w:rFonts w:ascii="Arial" w:hAnsi="Arial" w:cs="Arial"/>
          <w:b/>
          <w:bCs/>
          <w:color w:val="000000"/>
        </w:rPr>
        <w:t>Leasehold</w:t>
      </w:r>
      <w:proofErr w:type="spellEnd"/>
      <w:r>
        <w:rPr>
          <w:rFonts w:ascii="Arial" w:hAnsi="Arial" w:cs="Arial"/>
          <w:b/>
          <w:bCs/>
          <w:color w:val="000000"/>
        </w:rPr>
        <w:t xml:space="preserve"> and </w:t>
      </w:r>
      <w:proofErr w:type="spellStart"/>
      <w:r>
        <w:rPr>
          <w:rFonts w:ascii="Arial" w:hAnsi="Arial" w:cs="Arial"/>
          <w:b/>
          <w:bCs/>
          <w:color w:val="000000"/>
        </w:rPr>
        <w:t>Freehold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Reform</w:t>
      </w:r>
      <w:proofErr w:type="spellEnd"/>
      <w:r>
        <w:rPr>
          <w:rFonts w:ascii="Arial" w:hAnsi="Arial" w:cs="Arial"/>
          <w:b/>
          <w:bCs/>
          <w:color w:val="000000"/>
        </w:rPr>
        <w:t xml:space="preserve"> Act 2024</w:t>
      </w:r>
      <w:r>
        <w:rPr>
          <w:rFonts w:ascii="Arial" w:hAnsi="Arial" w:cs="Arial"/>
          <w:color w:val="000000"/>
        </w:rPr>
        <w:t>.</w:t>
      </w:r>
    </w:p>
    <w:p w14:paraId="1B69DA78" w14:textId="77777777" w:rsidR="002061C5" w:rsidRDefault="002061C5" w:rsidP="002061C5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07C40D3C" w14:textId="77777777" w:rsidR="002061C5" w:rsidRDefault="002061C5" w:rsidP="002061C5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Nella sezione dedicata alle </w:t>
      </w:r>
      <w:r>
        <w:rPr>
          <w:rFonts w:ascii="Arial" w:hAnsi="Arial" w:cs="Arial"/>
          <w:b/>
          <w:bCs/>
          <w:color w:val="000000"/>
        </w:rPr>
        <w:t>novità giurisprudenziali</w:t>
      </w:r>
      <w:r>
        <w:rPr>
          <w:rFonts w:ascii="Arial" w:hAnsi="Arial" w:cs="Arial"/>
          <w:color w:val="000000"/>
        </w:rPr>
        <w:t xml:space="preserve">, tra le pronunce della </w:t>
      </w:r>
      <w:r>
        <w:rPr>
          <w:rFonts w:ascii="Arial" w:hAnsi="Arial" w:cs="Arial"/>
          <w:b/>
          <w:bCs/>
          <w:color w:val="000000"/>
        </w:rPr>
        <w:t>Corte di Giustizia</w:t>
      </w:r>
      <w:r>
        <w:rPr>
          <w:rFonts w:ascii="Arial" w:hAnsi="Arial" w:cs="Arial"/>
          <w:color w:val="000000"/>
        </w:rPr>
        <w:t xml:space="preserve"> segnalate in questo numero, degna di nota appare la sentenza del 18 aprile 2024, cause riunite C-765/22 e C-722/22, nella quale, con riguardo alle questioni sottese all’apertura di </w:t>
      </w:r>
      <w:r>
        <w:rPr>
          <w:rFonts w:ascii="Arial" w:hAnsi="Arial" w:cs="Arial"/>
          <w:b/>
          <w:bCs/>
          <w:color w:val="000000"/>
        </w:rPr>
        <w:t>procedure transfrontaliere</w:t>
      </w:r>
      <w:r>
        <w:rPr>
          <w:rFonts w:ascii="Arial" w:hAnsi="Arial" w:cs="Arial"/>
          <w:color w:val="000000"/>
        </w:rPr>
        <w:t>, la Corte stabilisce che nelle procedure di insolvenza la massa dei beni della procedura secondaria  di insolvenza è costituita solo dai beni situati nel territorio dello stato membro alla data di apertura della procedura secondaria e che l’amministratore della procedura principale può trasferire i beni del debitore fuori dal territorio dello stato membro in cui è stata aperta la procedura principale.</w:t>
      </w:r>
    </w:p>
    <w:p w14:paraId="574E296A" w14:textId="77777777" w:rsidR="002061C5" w:rsidRDefault="002061C5" w:rsidP="002061C5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073C62A2" w14:textId="77777777" w:rsidR="002061C5" w:rsidRDefault="002061C5" w:rsidP="002061C5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Diversi gli scritti presenti nella sezione dedicata agli approfondimenti. Nel primo, l’illegittimità delle </w:t>
      </w:r>
      <w:proofErr w:type="spellStart"/>
      <w:r>
        <w:rPr>
          <w:rFonts w:ascii="Arial" w:hAnsi="Arial" w:cs="Arial"/>
          <w:b/>
          <w:bCs/>
          <w:color w:val="000000"/>
        </w:rPr>
        <w:t>third</w:t>
      </w:r>
      <w:proofErr w:type="spellEnd"/>
      <w:r>
        <w:rPr>
          <w:rFonts w:ascii="Arial" w:hAnsi="Arial" w:cs="Arial"/>
          <w:b/>
          <w:bCs/>
          <w:color w:val="000000"/>
        </w:rPr>
        <w:t xml:space="preserve"> parties </w:t>
      </w:r>
      <w:proofErr w:type="spellStart"/>
      <w:r>
        <w:rPr>
          <w:rFonts w:ascii="Arial" w:hAnsi="Arial" w:cs="Arial"/>
          <w:b/>
          <w:bCs/>
          <w:color w:val="000000"/>
        </w:rPr>
        <w:t>clauses</w:t>
      </w:r>
      <w:proofErr w:type="spellEnd"/>
      <w:r>
        <w:rPr>
          <w:rFonts w:ascii="Arial" w:hAnsi="Arial" w:cs="Arial"/>
          <w:color w:val="000000"/>
        </w:rPr>
        <w:t xml:space="preserve"> secondo la </w:t>
      </w:r>
      <w:r>
        <w:rPr>
          <w:rFonts w:ascii="Arial" w:hAnsi="Arial" w:cs="Arial"/>
          <w:b/>
          <w:bCs/>
          <w:color w:val="000000"/>
        </w:rPr>
        <w:t xml:space="preserve">Corte Suprema degli Stati Uniti </w:t>
      </w:r>
      <w:r>
        <w:rPr>
          <w:rFonts w:ascii="Arial" w:hAnsi="Arial" w:cs="Arial"/>
          <w:color w:val="000000"/>
        </w:rPr>
        <w:t xml:space="preserve">nel piano di ristrutturazione ex </w:t>
      </w:r>
      <w:proofErr w:type="spellStart"/>
      <w:r>
        <w:rPr>
          <w:rFonts w:ascii="Arial" w:hAnsi="Arial" w:cs="Arial"/>
          <w:color w:val="000000"/>
        </w:rPr>
        <w:t>Chapter</w:t>
      </w:r>
      <w:proofErr w:type="spellEnd"/>
      <w:r>
        <w:rPr>
          <w:rFonts w:ascii="Arial" w:hAnsi="Arial" w:cs="Arial"/>
          <w:color w:val="000000"/>
        </w:rPr>
        <w:t xml:space="preserve"> 11, Luciano Panzani commenta la discussa sentenza 27 giugno 2024 della Corte Suprema degli Stati Uniti che, decidendo il caso </w:t>
      </w:r>
      <w:proofErr w:type="spellStart"/>
      <w:r>
        <w:rPr>
          <w:rFonts w:ascii="Arial" w:hAnsi="Arial" w:cs="Arial"/>
          <w:color w:val="000000"/>
        </w:rPr>
        <w:t>Purdue</w:t>
      </w:r>
      <w:proofErr w:type="spellEnd"/>
      <w:r>
        <w:rPr>
          <w:rFonts w:ascii="Arial" w:hAnsi="Arial" w:cs="Arial"/>
          <w:color w:val="000000"/>
        </w:rPr>
        <w:t xml:space="preserve"> Pharma, ha concluso come non rientri nei poteri delle </w:t>
      </w:r>
      <w:proofErr w:type="spellStart"/>
      <w:r>
        <w:rPr>
          <w:rFonts w:ascii="Arial" w:hAnsi="Arial" w:cs="Arial"/>
          <w:color w:val="000000"/>
        </w:rPr>
        <w:t>Bankruptcy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Courts</w:t>
      </w:r>
      <w:proofErr w:type="spellEnd"/>
      <w:r>
        <w:rPr>
          <w:rFonts w:ascii="Arial" w:hAnsi="Arial" w:cs="Arial"/>
          <w:color w:val="000000"/>
        </w:rPr>
        <w:t xml:space="preserve"> approvare un piano di ristrutturazione, presentato ai sensi del </w:t>
      </w:r>
      <w:proofErr w:type="spellStart"/>
      <w:r>
        <w:rPr>
          <w:rFonts w:ascii="Arial" w:hAnsi="Arial" w:cs="Arial"/>
          <w:color w:val="000000"/>
        </w:rPr>
        <w:t>Chapter</w:t>
      </w:r>
      <w:proofErr w:type="spellEnd"/>
      <w:r>
        <w:rPr>
          <w:rFonts w:ascii="Arial" w:hAnsi="Arial" w:cs="Arial"/>
          <w:color w:val="000000"/>
        </w:rPr>
        <w:t xml:space="preserve"> 11, che preveda l’esonero da responsabilità di soggetti terzi, diversi dal debitore.</w:t>
      </w:r>
    </w:p>
    <w:p w14:paraId="115D5644" w14:textId="77777777" w:rsidR="002061C5" w:rsidRDefault="002061C5" w:rsidP="002061C5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32A09E4B" w14:textId="77777777" w:rsidR="002061C5" w:rsidRDefault="002061C5" w:rsidP="002061C5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Il secondo scritto di Giorgio Corno, Stephan </w:t>
      </w:r>
      <w:proofErr w:type="spellStart"/>
      <w:r>
        <w:rPr>
          <w:rFonts w:ascii="Arial" w:hAnsi="Arial" w:cs="Arial"/>
          <w:color w:val="000000"/>
        </w:rPr>
        <w:t>Madaus</w:t>
      </w:r>
      <w:proofErr w:type="spellEnd"/>
      <w:r>
        <w:rPr>
          <w:rFonts w:ascii="Arial" w:hAnsi="Arial" w:cs="Arial"/>
          <w:color w:val="000000"/>
        </w:rPr>
        <w:t xml:space="preserve"> e Robert van Galen, </w:t>
      </w:r>
      <w:proofErr w:type="spellStart"/>
      <w:r>
        <w:rPr>
          <w:rFonts w:ascii="Arial" w:hAnsi="Arial" w:cs="Arial"/>
          <w:color w:val="000000"/>
        </w:rPr>
        <w:t>Implementing</w:t>
      </w:r>
      <w:proofErr w:type="spellEnd"/>
      <w:r>
        <w:rPr>
          <w:rFonts w:ascii="Arial" w:hAnsi="Arial" w:cs="Arial"/>
          <w:color w:val="000000"/>
        </w:rPr>
        <w:t xml:space="preserve"> art. 11 </w:t>
      </w:r>
      <w:proofErr w:type="spellStart"/>
      <w:r>
        <w:rPr>
          <w:rFonts w:ascii="Arial" w:hAnsi="Arial" w:cs="Arial"/>
          <w:color w:val="000000"/>
        </w:rPr>
        <w:t>directive</w:t>
      </w:r>
      <w:proofErr w:type="spellEnd"/>
      <w:r>
        <w:rPr>
          <w:rFonts w:ascii="Arial" w:hAnsi="Arial" w:cs="Arial"/>
          <w:color w:val="000000"/>
        </w:rPr>
        <w:t xml:space="preserve"> (</w:t>
      </w:r>
      <w:proofErr w:type="spellStart"/>
      <w:r>
        <w:rPr>
          <w:rFonts w:ascii="Arial" w:hAnsi="Arial" w:cs="Arial"/>
          <w:color w:val="000000"/>
        </w:rPr>
        <w:t>eu</w:t>
      </w:r>
      <w:proofErr w:type="spellEnd"/>
      <w:r>
        <w:rPr>
          <w:rFonts w:ascii="Arial" w:hAnsi="Arial" w:cs="Arial"/>
          <w:color w:val="000000"/>
        </w:rPr>
        <w:t xml:space="preserve">) 2019/1023 on cross-class </w:t>
      </w:r>
      <w:proofErr w:type="spellStart"/>
      <w:r>
        <w:rPr>
          <w:rFonts w:ascii="Arial" w:hAnsi="Arial" w:cs="Arial"/>
          <w:color w:val="000000"/>
        </w:rPr>
        <w:t>cramdown</w:t>
      </w:r>
      <w:proofErr w:type="spellEnd"/>
      <w:r>
        <w:rPr>
          <w:rFonts w:ascii="Arial" w:hAnsi="Arial" w:cs="Arial"/>
          <w:color w:val="000000"/>
        </w:rPr>
        <w:t xml:space="preserve"> rules. A </w:t>
      </w:r>
      <w:proofErr w:type="spellStart"/>
      <w:r>
        <w:rPr>
          <w:rFonts w:ascii="Arial" w:hAnsi="Arial" w:cs="Arial"/>
          <w:color w:val="000000"/>
        </w:rPr>
        <w:t>comparison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between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italian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dutch</w:t>
      </w:r>
      <w:proofErr w:type="spellEnd"/>
      <w:r>
        <w:rPr>
          <w:rFonts w:ascii="Arial" w:hAnsi="Arial" w:cs="Arial"/>
          <w:color w:val="000000"/>
        </w:rPr>
        <w:t xml:space="preserve">, and </w:t>
      </w:r>
      <w:proofErr w:type="spellStart"/>
      <w:r>
        <w:rPr>
          <w:rFonts w:ascii="Arial" w:hAnsi="Arial" w:cs="Arial"/>
          <w:color w:val="000000"/>
        </w:rPr>
        <w:t>german</w:t>
      </w:r>
      <w:proofErr w:type="spellEnd"/>
      <w:r>
        <w:rPr>
          <w:rFonts w:ascii="Arial" w:hAnsi="Arial" w:cs="Arial"/>
          <w:color w:val="000000"/>
        </w:rPr>
        <w:t xml:space="preserve"> rules, prendendo le mosse dall’esame dell’art. 11 della Direttiva (UE) 2019/1023, dedicato alla </w:t>
      </w:r>
      <w:r>
        <w:rPr>
          <w:rFonts w:ascii="Arial" w:hAnsi="Arial" w:cs="Arial"/>
          <w:b/>
          <w:bCs/>
          <w:color w:val="000000"/>
        </w:rPr>
        <w:t>ristrutturazione trasversale</w:t>
      </w:r>
      <w:r>
        <w:rPr>
          <w:rFonts w:ascii="Arial" w:hAnsi="Arial" w:cs="Arial"/>
          <w:color w:val="000000"/>
        </w:rPr>
        <w:t xml:space="preserve">, descrive l’implementazione dell’istituto della ristrutturazione trasversale in </w:t>
      </w:r>
      <w:r>
        <w:rPr>
          <w:rFonts w:ascii="Arial" w:hAnsi="Arial" w:cs="Arial"/>
          <w:b/>
          <w:bCs/>
          <w:color w:val="000000"/>
        </w:rPr>
        <w:t>Germania e Olanda</w:t>
      </w:r>
      <w:r>
        <w:rPr>
          <w:rFonts w:ascii="Arial" w:hAnsi="Arial" w:cs="Arial"/>
          <w:color w:val="000000"/>
        </w:rPr>
        <w:t>, comparandone la disciplina con quella italiana contenuta nell’art. 112 del Codice della crisi, come modificato e integrato dal recente d.lgs. 13 settembre 2024, n. 136.</w:t>
      </w:r>
    </w:p>
    <w:p w14:paraId="56E57AFC" w14:textId="77777777" w:rsidR="002061C5" w:rsidRDefault="002061C5" w:rsidP="002061C5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Il terzo approfondimento, curato da Francesco Grieco, I piani di ristrutturazione nel nuovo codice della crisi </w:t>
      </w:r>
      <w:r>
        <w:rPr>
          <w:rFonts w:ascii="Arial" w:hAnsi="Arial" w:cs="Arial"/>
          <w:b/>
          <w:bCs/>
          <w:color w:val="000000"/>
        </w:rPr>
        <w:t>belga</w:t>
      </w:r>
      <w:r>
        <w:rPr>
          <w:rFonts w:ascii="Arial" w:hAnsi="Arial" w:cs="Arial"/>
          <w:color w:val="000000"/>
        </w:rPr>
        <w:t>, esamina compiutamente l’importante riforma del diritto concorsuale belga attuata tramite la legge7 giugno 2023 che, dando attuazione alla Direttiva (UE) 2019/1023, ha profondamente revisionato il Libro XX del codice di diritto Economico con misure finalizzate a modernizzare e a efficientare le procedure di risanamento delle imprese in difficoltà.</w:t>
      </w:r>
    </w:p>
    <w:p w14:paraId="41417BBC" w14:textId="77777777" w:rsidR="002061C5" w:rsidRDefault="002061C5" w:rsidP="002061C5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3CAC0A49" w14:textId="6D49BF6C" w:rsidR="002061C5" w:rsidRDefault="002061C5" w:rsidP="002061C5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seguire, lo scritto di Petr </w:t>
      </w:r>
      <w:proofErr w:type="spellStart"/>
      <w:r>
        <w:rPr>
          <w:rFonts w:ascii="Arial" w:hAnsi="Arial" w:cs="Arial"/>
          <w:color w:val="000000"/>
        </w:rPr>
        <w:t>Blahuš</w:t>
      </w:r>
      <w:proofErr w:type="spellEnd"/>
      <w:r>
        <w:rPr>
          <w:rFonts w:ascii="Arial" w:hAnsi="Arial" w:cs="Arial"/>
          <w:color w:val="000000"/>
        </w:rPr>
        <w:t xml:space="preserve"> e </w:t>
      </w:r>
      <w:proofErr w:type="spellStart"/>
      <w:r>
        <w:rPr>
          <w:rFonts w:ascii="Arial" w:hAnsi="Arial" w:cs="Arial"/>
          <w:color w:val="000000"/>
        </w:rPr>
        <w:t>Jiří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Voda</w:t>
      </w:r>
      <w:proofErr w:type="spellEnd"/>
      <w:r>
        <w:rPr>
          <w:rFonts w:ascii="Arial" w:hAnsi="Arial" w:cs="Arial"/>
          <w:color w:val="000000"/>
        </w:rPr>
        <w:t xml:space="preserve">, On </w:t>
      </w:r>
      <w:proofErr w:type="spellStart"/>
      <w:r>
        <w:rPr>
          <w:rFonts w:ascii="Arial" w:hAnsi="Arial" w:cs="Arial"/>
          <w:color w:val="000000"/>
        </w:rPr>
        <w:t>restructuring</w:t>
      </w:r>
      <w:proofErr w:type="spellEnd"/>
      <w:r>
        <w:rPr>
          <w:rFonts w:ascii="Arial" w:hAnsi="Arial" w:cs="Arial"/>
          <w:color w:val="000000"/>
        </w:rPr>
        <w:t xml:space="preserve">, corporate and </w:t>
      </w:r>
      <w:proofErr w:type="spellStart"/>
      <w:r>
        <w:rPr>
          <w:rFonts w:ascii="Arial" w:hAnsi="Arial" w:cs="Arial"/>
          <w:color w:val="000000"/>
        </w:rPr>
        <w:t>sovereign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debts</w:t>
      </w:r>
      <w:proofErr w:type="spellEnd"/>
      <w:r>
        <w:rPr>
          <w:rFonts w:ascii="Arial" w:hAnsi="Arial" w:cs="Arial"/>
          <w:color w:val="000000"/>
        </w:rPr>
        <w:t xml:space="preserve"> and </w:t>
      </w:r>
      <w:proofErr w:type="spellStart"/>
      <w:r>
        <w:rPr>
          <w:rFonts w:ascii="Arial" w:hAnsi="Arial" w:cs="Arial"/>
          <w:color w:val="000000"/>
        </w:rPr>
        <w:t>bankruptcies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internationally</w:t>
      </w:r>
      <w:proofErr w:type="spellEnd"/>
      <w:r>
        <w:rPr>
          <w:rFonts w:ascii="Arial" w:hAnsi="Arial" w:cs="Arial"/>
          <w:color w:val="000000"/>
        </w:rPr>
        <w:t xml:space="preserve">, in cui si descrivono i lavori dell’ultimo incontro dell’International Exchange of Experience on </w:t>
      </w:r>
      <w:proofErr w:type="spellStart"/>
      <w:r>
        <w:rPr>
          <w:rFonts w:ascii="Arial" w:hAnsi="Arial" w:cs="Arial"/>
          <w:color w:val="000000"/>
        </w:rPr>
        <w:t>Insolvency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Law</w:t>
      </w:r>
      <w:proofErr w:type="spellEnd"/>
      <w:r>
        <w:rPr>
          <w:rFonts w:ascii="Arial" w:hAnsi="Arial" w:cs="Arial"/>
          <w:color w:val="000000"/>
        </w:rPr>
        <w:t xml:space="preserve"> tenutosi presso la sede della Camera di commercio e dell'industria ceco-tedesca a Praga lo scorso mese di giugno.</w:t>
      </w:r>
    </w:p>
    <w:p w14:paraId="0B87A175" w14:textId="77777777" w:rsidR="002061C5" w:rsidRDefault="002061C5" w:rsidP="002061C5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2F136C36" w14:textId="5872DF5A" w:rsidR="002061C5" w:rsidRDefault="002061C5" w:rsidP="002061C5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Chiude la sezione il dettagliato report di Luciano Panzani sui lavori del Working Group V dell’</w:t>
      </w:r>
      <w:proofErr w:type="spellStart"/>
      <w:r>
        <w:rPr>
          <w:rFonts w:ascii="Arial" w:hAnsi="Arial" w:cs="Arial"/>
          <w:color w:val="000000"/>
        </w:rPr>
        <w:t>Uncitral</w:t>
      </w:r>
      <w:proofErr w:type="spellEnd"/>
      <w:r>
        <w:rPr>
          <w:rFonts w:ascii="Arial" w:hAnsi="Arial" w:cs="Arial"/>
          <w:color w:val="000000"/>
        </w:rPr>
        <w:t xml:space="preserve"> all’esito della 64</w:t>
      </w:r>
      <w:r>
        <w:rPr>
          <w:rFonts w:ascii="Arial" w:hAnsi="Arial" w:cs="Arial"/>
          <w:color w:val="000000"/>
        </w:rPr>
        <w:t>^</w:t>
      </w:r>
      <w:r>
        <w:rPr>
          <w:rFonts w:ascii="Arial" w:hAnsi="Arial" w:cs="Arial"/>
          <w:color w:val="000000"/>
        </w:rPr>
        <w:t xml:space="preserve"> sessione di New York tenutasi dal 13 al 17 maggio 2024.</w:t>
      </w:r>
    </w:p>
    <w:p w14:paraId="3F43AC74" w14:textId="134C63A2" w:rsidR="00E67C39" w:rsidRPr="00600DE4" w:rsidRDefault="00E67C39" w:rsidP="002061C5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</w:p>
    <w:sectPr w:rsidR="00E67C39" w:rsidRPr="00600DE4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C31B9" w14:textId="77777777" w:rsidR="00B178D4" w:rsidRDefault="00B178D4" w:rsidP="009E7020">
      <w:pPr>
        <w:spacing w:after="0" w:line="240" w:lineRule="auto"/>
      </w:pPr>
      <w:r>
        <w:separator/>
      </w:r>
    </w:p>
  </w:endnote>
  <w:endnote w:type="continuationSeparator" w:id="0">
    <w:p w14:paraId="1384CFC5" w14:textId="77777777" w:rsidR="00B178D4" w:rsidRDefault="00B178D4" w:rsidP="009E7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6F4C4" w14:textId="77777777" w:rsidR="00B178D4" w:rsidRDefault="00B178D4" w:rsidP="009E7020">
      <w:pPr>
        <w:spacing w:after="0" w:line="240" w:lineRule="auto"/>
      </w:pPr>
      <w:r>
        <w:separator/>
      </w:r>
    </w:p>
  </w:footnote>
  <w:footnote w:type="continuationSeparator" w:id="0">
    <w:p w14:paraId="1B106143" w14:textId="77777777" w:rsidR="00B178D4" w:rsidRDefault="00B178D4" w:rsidP="009E7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5F5C5" w14:textId="7EBAE532" w:rsidR="009E7020" w:rsidRDefault="009E7020" w:rsidP="009E7020">
    <w:pPr>
      <w:pStyle w:val="Intestazione"/>
      <w:jc w:val="center"/>
    </w:pPr>
    <w:r>
      <w:rPr>
        <w:noProof/>
      </w:rPr>
      <w:drawing>
        <wp:inline distT="0" distB="0" distL="0" distR="0" wp14:anchorId="62F79B49" wp14:editId="500D1D8E">
          <wp:extent cx="2314575" cy="786130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CNDCEC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AF"/>
    <w:rsid w:val="00013EFA"/>
    <w:rsid w:val="00076324"/>
    <w:rsid w:val="0008790A"/>
    <w:rsid w:val="000D52F6"/>
    <w:rsid w:val="000F1D00"/>
    <w:rsid w:val="00100C48"/>
    <w:rsid w:val="00111934"/>
    <w:rsid w:val="0012139F"/>
    <w:rsid w:val="0012231B"/>
    <w:rsid w:val="0013251E"/>
    <w:rsid w:val="002037F9"/>
    <w:rsid w:val="002061C5"/>
    <w:rsid w:val="00221448"/>
    <w:rsid w:val="00260C29"/>
    <w:rsid w:val="00260C6B"/>
    <w:rsid w:val="00264582"/>
    <w:rsid w:val="00273FC4"/>
    <w:rsid w:val="002C0DF8"/>
    <w:rsid w:val="002E6C87"/>
    <w:rsid w:val="00396277"/>
    <w:rsid w:val="003D39FD"/>
    <w:rsid w:val="00493D44"/>
    <w:rsid w:val="004A488A"/>
    <w:rsid w:val="004C422D"/>
    <w:rsid w:val="005203BB"/>
    <w:rsid w:val="005D2D2C"/>
    <w:rsid w:val="00600DE4"/>
    <w:rsid w:val="006017E6"/>
    <w:rsid w:val="0063714D"/>
    <w:rsid w:val="00641380"/>
    <w:rsid w:val="006A03A2"/>
    <w:rsid w:val="006D5187"/>
    <w:rsid w:val="00746C58"/>
    <w:rsid w:val="0075699C"/>
    <w:rsid w:val="007C37BD"/>
    <w:rsid w:val="007E6A79"/>
    <w:rsid w:val="007F03B4"/>
    <w:rsid w:val="00812068"/>
    <w:rsid w:val="008353A8"/>
    <w:rsid w:val="00886285"/>
    <w:rsid w:val="00886EAF"/>
    <w:rsid w:val="0091660F"/>
    <w:rsid w:val="0093440C"/>
    <w:rsid w:val="00936CEB"/>
    <w:rsid w:val="009714FF"/>
    <w:rsid w:val="009E7020"/>
    <w:rsid w:val="009F6E09"/>
    <w:rsid w:val="00A10660"/>
    <w:rsid w:val="00A36F05"/>
    <w:rsid w:val="00A8724F"/>
    <w:rsid w:val="00A9411F"/>
    <w:rsid w:val="00B178D4"/>
    <w:rsid w:val="00B36709"/>
    <w:rsid w:val="00B53CEB"/>
    <w:rsid w:val="00BA5135"/>
    <w:rsid w:val="00BC2690"/>
    <w:rsid w:val="00C22784"/>
    <w:rsid w:val="00C25C3D"/>
    <w:rsid w:val="00C3168D"/>
    <w:rsid w:val="00C339F2"/>
    <w:rsid w:val="00D00165"/>
    <w:rsid w:val="00D05E53"/>
    <w:rsid w:val="00D14097"/>
    <w:rsid w:val="00D5168C"/>
    <w:rsid w:val="00D56E0F"/>
    <w:rsid w:val="00D57444"/>
    <w:rsid w:val="00D9771E"/>
    <w:rsid w:val="00DA798F"/>
    <w:rsid w:val="00DB73EC"/>
    <w:rsid w:val="00E222E1"/>
    <w:rsid w:val="00E51D8D"/>
    <w:rsid w:val="00E542B4"/>
    <w:rsid w:val="00E67C39"/>
    <w:rsid w:val="00EB4A66"/>
    <w:rsid w:val="00EC1FB4"/>
    <w:rsid w:val="00ED5402"/>
    <w:rsid w:val="00F250D9"/>
    <w:rsid w:val="00FD134E"/>
    <w:rsid w:val="00FD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03A4A"/>
  <w15:chartTrackingRefBased/>
  <w15:docId w15:val="{BDE6875F-C4DE-417E-9D00-6CA7C642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E70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7020"/>
  </w:style>
  <w:style w:type="paragraph" w:styleId="Pidipagina">
    <w:name w:val="footer"/>
    <w:basedOn w:val="Normale"/>
    <w:link w:val="PidipaginaCarattere"/>
    <w:uiPriority w:val="99"/>
    <w:unhideWhenUsed/>
    <w:rsid w:val="009E70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7020"/>
  </w:style>
  <w:style w:type="paragraph" w:styleId="NormaleWeb">
    <w:name w:val="Normal (Web)"/>
    <w:basedOn w:val="Normale"/>
    <w:uiPriority w:val="99"/>
    <w:unhideWhenUsed/>
    <w:rsid w:val="006A0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6A03A2"/>
    <w:rPr>
      <w:b/>
      <w:bCs/>
    </w:rPr>
  </w:style>
  <w:style w:type="character" w:styleId="Enfasicorsivo">
    <w:name w:val="Emphasis"/>
    <w:basedOn w:val="Carpredefinitoparagrafo"/>
    <w:uiPriority w:val="20"/>
    <w:qFormat/>
    <w:rsid w:val="006A03A2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6A03A2"/>
    <w:rPr>
      <w:color w:val="0000FF"/>
      <w:u w:val="single"/>
    </w:rPr>
  </w:style>
  <w:style w:type="paragraph" w:customStyle="1" w:styleId="Default">
    <w:name w:val="Default"/>
    <w:rsid w:val="001119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8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Regalbuto Salvatore</dc:creator>
  <cp:keywords/>
  <dc:description/>
  <cp:lastModifiedBy>Mastrogiacomo Tiziana</cp:lastModifiedBy>
  <cp:revision>21</cp:revision>
  <dcterms:created xsi:type="dcterms:W3CDTF">2024-11-11T10:38:00Z</dcterms:created>
  <dcterms:modified xsi:type="dcterms:W3CDTF">2024-11-14T08:49:00Z</dcterms:modified>
</cp:coreProperties>
</file>