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B9BF7" w14:textId="77777777" w:rsidR="009E7020" w:rsidRPr="00600DE4" w:rsidRDefault="009E7020" w:rsidP="00600DE4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1FA85018" w14:textId="77777777" w:rsidR="00600DE4" w:rsidRPr="00600DE4" w:rsidRDefault="00600DE4" w:rsidP="00600DE4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600DE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Comunicato stampa</w:t>
      </w:r>
    </w:p>
    <w:p w14:paraId="1715687C" w14:textId="77777777" w:rsidR="00600DE4" w:rsidRPr="00600DE4" w:rsidRDefault="00600DE4" w:rsidP="00600DE4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14:paraId="2B5626A1" w14:textId="23537149" w:rsidR="00600DE4" w:rsidRDefault="00600DE4" w:rsidP="00600DE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600DE4">
        <w:rPr>
          <w:rFonts w:ascii="Arial" w:hAnsi="Arial" w:cs="Arial"/>
          <w:b/>
          <w:bCs/>
          <w:color w:val="000000"/>
          <w:sz w:val="23"/>
          <w:szCs w:val="23"/>
        </w:rPr>
        <w:t>SOSTENIBILIT</w:t>
      </w:r>
      <w:r w:rsidR="00260C6B">
        <w:rPr>
          <w:rFonts w:ascii="Arial" w:hAnsi="Arial" w:cs="Arial"/>
          <w:b/>
          <w:bCs/>
          <w:color w:val="000000"/>
          <w:sz w:val="23"/>
          <w:szCs w:val="23"/>
        </w:rPr>
        <w:t>À</w:t>
      </w:r>
      <w:r w:rsidRPr="00600DE4">
        <w:rPr>
          <w:rFonts w:ascii="Arial" w:hAnsi="Arial" w:cs="Arial"/>
          <w:b/>
          <w:bCs/>
          <w:color w:val="000000"/>
          <w:sz w:val="23"/>
          <w:szCs w:val="23"/>
        </w:rPr>
        <w:t>, COMMERCIALISTI: “FONDAMENTALE AVVICINAMENTO TRA INFORMATIVA FINANCIAL E NON-FINANCIAL”</w:t>
      </w:r>
    </w:p>
    <w:p w14:paraId="580E34FE" w14:textId="77777777" w:rsidR="00600DE4" w:rsidRPr="00600DE4" w:rsidRDefault="00600DE4" w:rsidP="00600DE4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14:paraId="2314B034" w14:textId="77777777" w:rsidR="00600DE4" w:rsidRDefault="00600DE4" w:rsidP="00600DE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600DE4">
        <w:rPr>
          <w:rFonts w:ascii="Arial" w:hAnsi="Arial" w:cs="Arial"/>
          <w:b/>
          <w:bCs/>
          <w:color w:val="000000"/>
          <w:sz w:val="23"/>
          <w:szCs w:val="23"/>
          <w:lang w:val="en-GB"/>
        </w:rPr>
        <w:t xml:space="preserve">A Londra </w:t>
      </w:r>
      <w:proofErr w:type="spellStart"/>
      <w:r w:rsidRPr="00600DE4">
        <w:rPr>
          <w:rFonts w:ascii="Arial" w:hAnsi="Arial" w:cs="Arial"/>
          <w:b/>
          <w:bCs/>
          <w:color w:val="000000"/>
          <w:sz w:val="23"/>
          <w:szCs w:val="23"/>
          <w:lang w:val="en-GB"/>
        </w:rPr>
        <w:t>l’IFRS</w:t>
      </w:r>
      <w:proofErr w:type="spellEnd"/>
      <w:r w:rsidRPr="00600DE4">
        <w:rPr>
          <w:rFonts w:ascii="Arial" w:hAnsi="Arial" w:cs="Arial"/>
          <w:b/>
          <w:bCs/>
          <w:color w:val="000000"/>
          <w:sz w:val="23"/>
          <w:szCs w:val="23"/>
          <w:lang w:val="en-GB"/>
        </w:rPr>
        <w:t xml:space="preserve"> Advisory Council Meeting. </w:t>
      </w:r>
      <w:r w:rsidRPr="00600DE4">
        <w:rPr>
          <w:rFonts w:ascii="Arial" w:hAnsi="Arial" w:cs="Arial"/>
          <w:b/>
          <w:bCs/>
          <w:color w:val="000000"/>
          <w:sz w:val="23"/>
          <w:szCs w:val="23"/>
        </w:rPr>
        <w:t xml:space="preserve">De Nuccio: “Il progetto sul Management </w:t>
      </w:r>
      <w:proofErr w:type="spellStart"/>
      <w:r w:rsidRPr="00600DE4">
        <w:rPr>
          <w:rFonts w:ascii="Arial" w:hAnsi="Arial" w:cs="Arial"/>
          <w:b/>
          <w:bCs/>
          <w:color w:val="000000"/>
          <w:sz w:val="23"/>
          <w:szCs w:val="23"/>
        </w:rPr>
        <w:t>Commentary</w:t>
      </w:r>
      <w:proofErr w:type="spellEnd"/>
      <w:r w:rsidRPr="00600DE4">
        <w:rPr>
          <w:rFonts w:ascii="Arial" w:hAnsi="Arial" w:cs="Arial"/>
          <w:b/>
          <w:bCs/>
          <w:color w:val="000000"/>
          <w:sz w:val="23"/>
          <w:szCs w:val="23"/>
        </w:rPr>
        <w:t xml:space="preserve"> si potrebbe candidare a svolgere un ruolo di “report unico” dell’attività aziendale”</w:t>
      </w:r>
    </w:p>
    <w:p w14:paraId="79DF1D49" w14:textId="77777777" w:rsidR="00600DE4" w:rsidRPr="00600DE4" w:rsidRDefault="00600DE4" w:rsidP="00600DE4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14:paraId="6BB879D4" w14:textId="0BFA80FE" w:rsidR="00600DE4" w:rsidRDefault="00600DE4" w:rsidP="00600DE4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600DE4">
        <w:rPr>
          <w:rFonts w:ascii="Arial" w:hAnsi="Arial" w:cs="Arial"/>
          <w:i/>
          <w:iCs/>
          <w:color w:val="000000"/>
          <w:sz w:val="23"/>
          <w:szCs w:val="23"/>
        </w:rPr>
        <w:t>Londra, 13 novembre 2024 -</w:t>
      </w:r>
      <w:r w:rsidRPr="00600DE4">
        <w:rPr>
          <w:rFonts w:ascii="Arial" w:hAnsi="Arial" w:cs="Arial"/>
          <w:color w:val="000000"/>
          <w:sz w:val="23"/>
          <w:szCs w:val="23"/>
        </w:rPr>
        <w:t xml:space="preserve"> L’evoluzione dell’informazione e della comunicazione finanziaria in una prospettiva anche di </w:t>
      </w:r>
      <w:proofErr w:type="spellStart"/>
      <w:r w:rsidRPr="00600DE4">
        <w:rPr>
          <w:rFonts w:ascii="Arial" w:hAnsi="Arial" w:cs="Arial"/>
          <w:b/>
          <w:bCs/>
          <w:color w:val="000000"/>
          <w:sz w:val="23"/>
          <w:szCs w:val="23"/>
        </w:rPr>
        <w:t>sustainability</w:t>
      </w:r>
      <w:proofErr w:type="spellEnd"/>
      <w:r w:rsidRPr="00600DE4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600DE4">
        <w:rPr>
          <w:rFonts w:ascii="Arial" w:hAnsi="Arial" w:cs="Arial"/>
          <w:b/>
          <w:bCs/>
          <w:color w:val="000000"/>
          <w:sz w:val="23"/>
          <w:szCs w:val="23"/>
        </w:rPr>
        <w:t>disclosures</w:t>
      </w:r>
      <w:proofErr w:type="spellEnd"/>
      <w:r w:rsidRPr="00600DE4">
        <w:rPr>
          <w:rFonts w:ascii="Arial" w:hAnsi="Arial" w:cs="Arial"/>
          <w:color w:val="000000"/>
          <w:sz w:val="23"/>
          <w:szCs w:val="23"/>
        </w:rPr>
        <w:t>. È stato questo il tema principale al centro dei lavori dell’</w:t>
      </w:r>
      <w:r w:rsidRPr="00600DE4">
        <w:rPr>
          <w:rFonts w:ascii="Arial" w:hAnsi="Arial" w:cs="Arial"/>
          <w:b/>
          <w:bCs/>
          <w:color w:val="000000"/>
          <w:sz w:val="23"/>
          <w:szCs w:val="23"/>
        </w:rPr>
        <w:t>IFRS </w:t>
      </w:r>
      <w:proofErr w:type="spellStart"/>
      <w:r w:rsidRPr="00600DE4">
        <w:rPr>
          <w:rFonts w:ascii="Arial" w:hAnsi="Arial" w:cs="Arial"/>
          <w:b/>
          <w:bCs/>
          <w:color w:val="000000"/>
          <w:sz w:val="23"/>
          <w:szCs w:val="23"/>
        </w:rPr>
        <w:t>Advisory</w:t>
      </w:r>
      <w:proofErr w:type="spellEnd"/>
      <w:r w:rsidRPr="00600DE4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600DE4">
        <w:rPr>
          <w:rFonts w:ascii="Arial" w:hAnsi="Arial" w:cs="Arial"/>
          <w:b/>
          <w:bCs/>
          <w:color w:val="000000"/>
          <w:sz w:val="23"/>
          <w:szCs w:val="23"/>
        </w:rPr>
        <w:t>Council</w:t>
      </w:r>
      <w:proofErr w:type="spellEnd"/>
      <w:r w:rsidRPr="00600DE4">
        <w:rPr>
          <w:rFonts w:ascii="Arial" w:hAnsi="Arial" w:cs="Arial"/>
          <w:b/>
          <w:bCs/>
          <w:color w:val="000000"/>
          <w:sz w:val="23"/>
          <w:szCs w:val="23"/>
        </w:rPr>
        <w:t xml:space="preserve"> Meeting</w:t>
      </w:r>
      <w:r w:rsidRPr="00600DE4">
        <w:rPr>
          <w:rFonts w:ascii="Arial" w:hAnsi="Arial" w:cs="Arial"/>
          <w:color w:val="000000"/>
          <w:sz w:val="23"/>
          <w:szCs w:val="23"/>
        </w:rPr>
        <w:t xml:space="preserve">, svoltosi ieri e oggi a Londra, al quale ha partecipato anche il presidente del Consiglio nazionale dei commercialisti, </w:t>
      </w:r>
      <w:r w:rsidRPr="00600DE4">
        <w:rPr>
          <w:rFonts w:ascii="Arial" w:hAnsi="Arial" w:cs="Arial"/>
          <w:b/>
          <w:bCs/>
          <w:color w:val="000000"/>
          <w:sz w:val="23"/>
          <w:szCs w:val="23"/>
        </w:rPr>
        <w:t>Elbano de Nuccio</w:t>
      </w:r>
      <w:r w:rsidRPr="00600DE4">
        <w:rPr>
          <w:rFonts w:ascii="Arial" w:hAnsi="Arial" w:cs="Arial"/>
          <w:color w:val="000000"/>
          <w:sz w:val="23"/>
          <w:szCs w:val="23"/>
        </w:rPr>
        <w:t>. L’</w:t>
      </w:r>
      <w:proofErr w:type="spellStart"/>
      <w:r w:rsidRPr="00600DE4">
        <w:rPr>
          <w:rFonts w:ascii="Arial" w:hAnsi="Arial" w:cs="Arial"/>
          <w:color w:val="000000"/>
          <w:sz w:val="23"/>
          <w:szCs w:val="23"/>
        </w:rPr>
        <w:t>Advisory</w:t>
      </w:r>
      <w:proofErr w:type="spellEnd"/>
      <w:r w:rsidRPr="00600DE4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600DE4">
        <w:rPr>
          <w:rFonts w:ascii="Arial" w:hAnsi="Arial" w:cs="Arial"/>
          <w:color w:val="000000"/>
          <w:sz w:val="23"/>
          <w:szCs w:val="23"/>
        </w:rPr>
        <w:t>Council</w:t>
      </w:r>
      <w:proofErr w:type="spellEnd"/>
      <w:r w:rsidRPr="00600DE4">
        <w:rPr>
          <w:rFonts w:ascii="Arial" w:hAnsi="Arial" w:cs="Arial"/>
          <w:color w:val="000000"/>
          <w:sz w:val="23"/>
          <w:szCs w:val="23"/>
        </w:rPr>
        <w:t xml:space="preserve"> è un organismo consultivo interno dell’IFRS Foundation. l’organizzazione internazionale istituita per sviluppare standard di contabilità e divulgazione della sostenibilità. Dal 2025 de Nuccio sarà anche membro dell’Accounting standards </w:t>
      </w:r>
      <w:proofErr w:type="spellStart"/>
      <w:r w:rsidRPr="00600DE4">
        <w:rPr>
          <w:rFonts w:ascii="Arial" w:hAnsi="Arial" w:cs="Arial"/>
          <w:color w:val="000000"/>
          <w:sz w:val="23"/>
          <w:szCs w:val="23"/>
        </w:rPr>
        <w:t>advisory</w:t>
      </w:r>
      <w:proofErr w:type="spellEnd"/>
      <w:r w:rsidRPr="00600DE4">
        <w:rPr>
          <w:rFonts w:ascii="Arial" w:hAnsi="Arial" w:cs="Arial"/>
          <w:color w:val="000000"/>
          <w:sz w:val="23"/>
          <w:szCs w:val="23"/>
        </w:rPr>
        <w:t xml:space="preserve"> forum (ASAF) di IFRS.</w:t>
      </w:r>
    </w:p>
    <w:p w14:paraId="5DE8EC5A" w14:textId="77777777" w:rsidR="00600DE4" w:rsidRPr="00600DE4" w:rsidRDefault="00600DE4" w:rsidP="00600DE4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1F26AA09" w14:textId="77777777" w:rsidR="00600DE4" w:rsidRDefault="00600DE4" w:rsidP="00600DE4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600DE4">
        <w:rPr>
          <w:rFonts w:ascii="Arial" w:hAnsi="Arial" w:cs="Arial"/>
          <w:color w:val="000000"/>
          <w:sz w:val="23"/>
          <w:szCs w:val="23"/>
        </w:rPr>
        <w:t xml:space="preserve">“Nel corso di questa due giorni londinese - afferma de Nuccio – sono stati molti i temi trattati, a dimostrazione del particolare </w:t>
      </w:r>
      <w:r w:rsidRPr="00600DE4">
        <w:rPr>
          <w:rFonts w:ascii="Arial" w:hAnsi="Arial" w:cs="Arial"/>
          <w:b/>
          <w:bCs/>
          <w:color w:val="000000"/>
          <w:sz w:val="23"/>
          <w:szCs w:val="23"/>
        </w:rPr>
        <w:t>fermento</w:t>
      </w:r>
      <w:r w:rsidRPr="00600DE4">
        <w:rPr>
          <w:rFonts w:ascii="Arial" w:hAnsi="Arial" w:cs="Arial"/>
          <w:color w:val="000000"/>
          <w:sz w:val="23"/>
          <w:szCs w:val="23"/>
        </w:rPr>
        <w:t> nel mondo dell’</w:t>
      </w:r>
      <w:r w:rsidRPr="00600DE4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accounting</w:t>
      </w:r>
      <w:r w:rsidRPr="00600DE4">
        <w:rPr>
          <w:rFonts w:ascii="Arial" w:hAnsi="Arial" w:cs="Arial"/>
          <w:color w:val="000000"/>
          <w:sz w:val="23"/>
          <w:szCs w:val="23"/>
        </w:rPr>
        <w:t>, che sta vivendo un periodo di “</w:t>
      </w:r>
      <w:r w:rsidRPr="00600DE4">
        <w:rPr>
          <w:rFonts w:ascii="Arial" w:hAnsi="Arial" w:cs="Arial"/>
          <w:b/>
          <w:bCs/>
          <w:color w:val="000000"/>
          <w:sz w:val="23"/>
          <w:szCs w:val="23"/>
        </w:rPr>
        <w:t>ripensamento</w:t>
      </w:r>
      <w:r w:rsidRPr="00600DE4">
        <w:rPr>
          <w:rFonts w:ascii="Arial" w:hAnsi="Arial" w:cs="Arial"/>
          <w:color w:val="000000"/>
          <w:sz w:val="23"/>
          <w:szCs w:val="23"/>
        </w:rPr>
        <w:t xml:space="preserve">” di taluni paradigmi ritenuti fondanti il sistema di </w:t>
      </w:r>
      <w:r w:rsidRPr="00600DE4">
        <w:rPr>
          <w:rFonts w:ascii="Arial" w:hAnsi="Arial" w:cs="Arial"/>
          <w:b/>
          <w:bCs/>
          <w:color w:val="000000"/>
          <w:sz w:val="23"/>
          <w:szCs w:val="23"/>
        </w:rPr>
        <w:t>informativa aziendale</w:t>
      </w:r>
      <w:r w:rsidRPr="00600DE4">
        <w:rPr>
          <w:rFonts w:ascii="Arial" w:hAnsi="Arial" w:cs="Arial"/>
          <w:color w:val="000000"/>
          <w:sz w:val="23"/>
          <w:szCs w:val="23"/>
        </w:rPr>
        <w:t xml:space="preserve">.  Oltre alla revisione, canonica e periodica, delle disposizioni tecniche dei principi contabili internazionali, si è parlato, infatti, dell’evoluzione dell’informazione e della comunicazione finanziaria in una prospettiva anche di </w:t>
      </w:r>
      <w:proofErr w:type="spellStart"/>
      <w:r w:rsidRPr="00600DE4">
        <w:rPr>
          <w:rFonts w:ascii="Arial" w:hAnsi="Arial" w:cs="Arial"/>
          <w:color w:val="000000"/>
          <w:sz w:val="23"/>
          <w:szCs w:val="23"/>
        </w:rPr>
        <w:t>sustainability</w:t>
      </w:r>
      <w:proofErr w:type="spellEnd"/>
      <w:r w:rsidRPr="00600DE4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600DE4">
        <w:rPr>
          <w:rFonts w:ascii="Arial" w:hAnsi="Arial" w:cs="Arial"/>
          <w:color w:val="000000"/>
          <w:sz w:val="23"/>
          <w:szCs w:val="23"/>
        </w:rPr>
        <w:t>disclosures</w:t>
      </w:r>
      <w:proofErr w:type="spellEnd"/>
      <w:r w:rsidRPr="00600DE4">
        <w:rPr>
          <w:rFonts w:ascii="Arial" w:hAnsi="Arial" w:cs="Arial"/>
          <w:color w:val="000000"/>
          <w:sz w:val="23"/>
          <w:szCs w:val="23"/>
        </w:rPr>
        <w:t>”.</w:t>
      </w:r>
    </w:p>
    <w:p w14:paraId="24209199" w14:textId="77777777" w:rsidR="00600DE4" w:rsidRPr="00600DE4" w:rsidRDefault="00600DE4" w:rsidP="00600DE4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2955E407" w14:textId="77777777" w:rsidR="00600DE4" w:rsidRDefault="00600DE4" w:rsidP="00600DE4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600DE4">
        <w:rPr>
          <w:rFonts w:ascii="Arial" w:hAnsi="Arial" w:cs="Arial"/>
          <w:color w:val="000000"/>
          <w:sz w:val="23"/>
          <w:szCs w:val="23"/>
        </w:rPr>
        <w:t xml:space="preserve">De Nuccio ricorda come “l’IFRS Foundation ha rivisto la propria governance per includere, accanto all’international Accounting </w:t>
      </w:r>
      <w:r w:rsidRPr="00600DE4">
        <w:rPr>
          <w:rFonts w:ascii="Arial" w:hAnsi="Arial" w:cs="Arial"/>
          <w:b/>
          <w:bCs/>
          <w:color w:val="000000"/>
          <w:sz w:val="23"/>
          <w:szCs w:val="23"/>
        </w:rPr>
        <w:t>Standards Board (IASB)</w:t>
      </w:r>
      <w:r w:rsidRPr="00600DE4">
        <w:rPr>
          <w:rFonts w:ascii="Arial" w:hAnsi="Arial" w:cs="Arial"/>
          <w:color w:val="000000"/>
          <w:sz w:val="23"/>
          <w:szCs w:val="23"/>
        </w:rPr>
        <w:t xml:space="preserve">, anche lo </w:t>
      </w:r>
      <w:r w:rsidRPr="00600DE4">
        <w:rPr>
          <w:rFonts w:ascii="Arial" w:hAnsi="Arial" w:cs="Arial"/>
          <w:b/>
          <w:bCs/>
          <w:color w:val="000000"/>
          <w:sz w:val="23"/>
          <w:szCs w:val="23"/>
        </w:rPr>
        <w:t xml:space="preserve">International </w:t>
      </w:r>
      <w:proofErr w:type="spellStart"/>
      <w:r w:rsidRPr="00600DE4">
        <w:rPr>
          <w:rFonts w:ascii="Arial" w:hAnsi="Arial" w:cs="Arial"/>
          <w:b/>
          <w:bCs/>
          <w:color w:val="000000"/>
          <w:sz w:val="23"/>
          <w:szCs w:val="23"/>
        </w:rPr>
        <w:t>Sustainability</w:t>
      </w:r>
      <w:proofErr w:type="spellEnd"/>
      <w:r w:rsidRPr="00600DE4">
        <w:rPr>
          <w:rFonts w:ascii="Arial" w:hAnsi="Arial" w:cs="Arial"/>
          <w:b/>
          <w:bCs/>
          <w:color w:val="000000"/>
          <w:sz w:val="23"/>
          <w:szCs w:val="23"/>
        </w:rPr>
        <w:t xml:space="preserve"> Standards Board (ISSB)</w:t>
      </w:r>
      <w:r w:rsidRPr="00600DE4">
        <w:rPr>
          <w:rFonts w:ascii="Arial" w:hAnsi="Arial" w:cs="Arial"/>
          <w:color w:val="000000"/>
          <w:sz w:val="23"/>
          <w:szCs w:val="23"/>
        </w:rPr>
        <w:t>, tavolo tecnico dedicato specificamente all’informativa di sostenibilità e alla correlata pubblicazione degli IFRS </w:t>
      </w:r>
      <w:proofErr w:type="spellStart"/>
      <w:r w:rsidRPr="00600DE4">
        <w:rPr>
          <w:rFonts w:ascii="Arial" w:hAnsi="Arial" w:cs="Arial"/>
          <w:color w:val="000000"/>
          <w:sz w:val="23"/>
          <w:szCs w:val="23"/>
        </w:rPr>
        <w:t>Sustainability</w:t>
      </w:r>
      <w:proofErr w:type="spellEnd"/>
      <w:r w:rsidRPr="00600DE4">
        <w:rPr>
          <w:rFonts w:ascii="Arial" w:hAnsi="Arial" w:cs="Arial"/>
          <w:color w:val="000000"/>
          <w:sz w:val="23"/>
          <w:szCs w:val="23"/>
        </w:rPr>
        <w:t xml:space="preserve"> Standards. In questo contesto è di estremo rilievo il processo di avvicinamento dell’</w:t>
      </w:r>
      <w:r w:rsidRPr="00600DE4">
        <w:rPr>
          <w:rFonts w:ascii="Arial" w:hAnsi="Arial" w:cs="Arial"/>
          <w:b/>
          <w:bCs/>
          <w:color w:val="000000"/>
          <w:sz w:val="23"/>
          <w:szCs w:val="23"/>
        </w:rPr>
        <w:t xml:space="preserve">informativa finanziaria </w:t>
      </w:r>
      <w:r w:rsidRPr="00600DE4">
        <w:rPr>
          <w:rFonts w:ascii="Arial" w:hAnsi="Arial" w:cs="Arial"/>
          <w:color w:val="000000"/>
          <w:sz w:val="23"/>
          <w:szCs w:val="23"/>
        </w:rPr>
        <w:t>all’</w:t>
      </w:r>
      <w:r w:rsidRPr="00600DE4">
        <w:rPr>
          <w:rFonts w:ascii="Arial" w:hAnsi="Arial" w:cs="Arial"/>
          <w:b/>
          <w:bCs/>
          <w:color w:val="000000"/>
          <w:sz w:val="23"/>
          <w:szCs w:val="23"/>
        </w:rPr>
        <w:t xml:space="preserve">informativa non-finanziaria </w:t>
      </w:r>
      <w:proofErr w:type="gramStart"/>
      <w:r w:rsidRPr="00600DE4">
        <w:rPr>
          <w:rFonts w:ascii="Arial" w:hAnsi="Arial" w:cs="Arial"/>
          <w:color w:val="000000"/>
          <w:sz w:val="23"/>
          <w:szCs w:val="23"/>
        </w:rPr>
        <w:t>e</w:t>
      </w:r>
      <w:proofErr w:type="gramEnd"/>
      <w:r w:rsidRPr="00600DE4">
        <w:rPr>
          <w:rFonts w:ascii="Arial" w:hAnsi="Arial" w:cs="Arial"/>
          <w:color w:val="000000"/>
          <w:sz w:val="23"/>
          <w:szCs w:val="23"/>
        </w:rPr>
        <w:t xml:space="preserve"> viceversa. È evidente, nei fatti, che le prospettive, </w:t>
      </w:r>
      <w:proofErr w:type="spellStart"/>
      <w:r w:rsidRPr="00600DE4">
        <w:rPr>
          <w:rFonts w:ascii="Arial" w:hAnsi="Arial" w:cs="Arial"/>
          <w:color w:val="000000"/>
          <w:sz w:val="23"/>
          <w:szCs w:val="23"/>
        </w:rPr>
        <w:t>financial</w:t>
      </w:r>
      <w:proofErr w:type="spellEnd"/>
      <w:r w:rsidRPr="00600DE4">
        <w:rPr>
          <w:rFonts w:ascii="Arial" w:hAnsi="Arial" w:cs="Arial"/>
          <w:color w:val="000000"/>
          <w:sz w:val="23"/>
          <w:szCs w:val="23"/>
        </w:rPr>
        <w:t xml:space="preserve"> e non-</w:t>
      </w:r>
      <w:proofErr w:type="spellStart"/>
      <w:r w:rsidRPr="00600DE4">
        <w:rPr>
          <w:rFonts w:ascii="Arial" w:hAnsi="Arial" w:cs="Arial"/>
          <w:color w:val="000000"/>
          <w:sz w:val="23"/>
          <w:szCs w:val="23"/>
        </w:rPr>
        <w:t>financial</w:t>
      </w:r>
      <w:proofErr w:type="spellEnd"/>
      <w:r w:rsidRPr="00600DE4">
        <w:rPr>
          <w:rFonts w:ascii="Arial" w:hAnsi="Arial" w:cs="Arial"/>
          <w:color w:val="000000"/>
          <w:sz w:val="23"/>
          <w:szCs w:val="23"/>
        </w:rPr>
        <w:t xml:space="preserve">, siano tra loro </w:t>
      </w:r>
      <w:r w:rsidRPr="00600DE4">
        <w:rPr>
          <w:rFonts w:ascii="Arial" w:hAnsi="Arial" w:cs="Arial"/>
          <w:b/>
          <w:bCs/>
          <w:color w:val="000000"/>
          <w:sz w:val="23"/>
          <w:szCs w:val="23"/>
        </w:rPr>
        <w:t xml:space="preserve">complementari </w:t>
      </w:r>
      <w:r w:rsidRPr="00600DE4">
        <w:rPr>
          <w:rFonts w:ascii="Arial" w:hAnsi="Arial" w:cs="Arial"/>
          <w:color w:val="000000"/>
          <w:sz w:val="23"/>
          <w:szCs w:val="23"/>
        </w:rPr>
        <w:t xml:space="preserve">e che, per molti aspetti, debbano essere lette in modo </w:t>
      </w:r>
      <w:r w:rsidRPr="00600DE4">
        <w:rPr>
          <w:rFonts w:ascii="Arial" w:hAnsi="Arial" w:cs="Arial"/>
          <w:b/>
          <w:bCs/>
          <w:color w:val="000000"/>
          <w:sz w:val="23"/>
          <w:szCs w:val="23"/>
        </w:rPr>
        <w:t>congiunto e interconnesso</w:t>
      </w:r>
      <w:r w:rsidRPr="00600DE4">
        <w:rPr>
          <w:rFonts w:ascii="Arial" w:hAnsi="Arial" w:cs="Arial"/>
          <w:color w:val="000000"/>
          <w:sz w:val="23"/>
          <w:szCs w:val="23"/>
        </w:rPr>
        <w:t>. In particolare, il tema della “</w:t>
      </w:r>
      <w:r w:rsidRPr="00600DE4">
        <w:rPr>
          <w:rFonts w:ascii="Arial" w:hAnsi="Arial" w:cs="Arial"/>
          <w:b/>
          <w:bCs/>
          <w:color w:val="000000"/>
          <w:sz w:val="23"/>
          <w:szCs w:val="23"/>
        </w:rPr>
        <w:t>connettività</w:t>
      </w:r>
      <w:r w:rsidRPr="00600DE4">
        <w:rPr>
          <w:rFonts w:ascii="Arial" w:hAnsi="Arial" w:cs="Arial"/>
          <w:color w:val="000000"/>
          <w:sz w:val="23"/>
          <w:szCs w:val="23"/>
        </w:rPr>
        <w:t xml:space="preserve">” tra i due set di principi appare </w:t>
      </w:r>
      <w:r w:rsidRPr="00600DE4">
        <w:rPr>
          <w:rFonts w:ascii="Arial" w:hAnsi="Arial" w:cs="Arial"/>
          <w:b/>
          <w:bCs/>
          <w:color w:val="000000"/>
          <w:sz w:val="23"/>
          <w:szCs w:val="23"/>
        </w:rPr>
        <w:t>fondamentale</w:t>
      </w:r>
      <w:r w:rsidRPr="00600DE4">
        <w:rPr>
          <w:rFonts w:ascii="Arial" w:hAnsi="Arial" w:cs="Arial"/>
          <w:color w:val="000000"/>
          <w:sz w:val="23"/>
          <w:szCs w:val="23"/>
        </w:rPr>
        <w:t xml:space="preserve"> in questa logica, per fornire una </w:t>
      </w:r>
      <w:r w:rsidRPr="00600DE4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disclosure</w:t>
      </w:r>
      <w:r w:rsidRPr="00600DE4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600DE4">
        <w:rPr>
          <w:rFonts w:ascii="Arial" w:hAnsi="Arial" w:cs="Arial"/>
          <w:color w:val="000000"/>
          <w:sz w:val="23"/>
          <w:szCs w:val="23"/>
        </w:rPr>
        <w:t xml:space="preserve">di alta qualità che risulti utile ai fini decisionali per gli stakeholder e, </w:t>
      </w:r>
      <w:r w:rsidRPr="00600DE4">
        <w:rPr>
          <w:rFonts w:ascii="Arial" w:hAnsi="Arial" w:cs="Arial"/>
          <w:i/>
          <w:iCs/>
          <w:color w:val="000000"/>
          <w:sz w:val="23"/>
          <w:szCs w:val="23"/>
        </w:rPr>
        <w:t>in primis</w:t>
      </w:r>
      <w:r w:rsidRPr="00600DE4">
        <w:rPr>
          <w:rFonts w:ascii="Arial" w:hAnsi="Arial" w:cs="Arial"/>
          <w:color w:val="000000"/>
          <w:sz w:val="23"/>
          <w:szCs w:val="23"/>
        </w:rPr>
        <w:t xml:space="preserve">, per gli investitori, destinatari privilegiati di tutti i principi che portano il timbro dell’IFRS Foundation. D’altronde, le pratiche sulle questioni </w:t>
      </w:r>
      <w:proofErr w:type="spellStart"/>
      <w:r w:rsidRPr="00600DE4">
        <w:rPr>
          <w:rFonts w:ascii="Arial" w:hAnsi="Arial" w:cs="Arial"/>
          <w:color w:val="000000"/>
          <w:sz w:val="23"/>
          <w:szCs w:val="23"/>
        </w:rPr>
        <w:t>environmental</w:t>
      </w:r>
      <w:proofErr w:type="spellEnd"/>
      <w:r w:rsidRPr="00600DE4">
        <w:rPr>
          <w:rFonts w:ascii="Arial" w:hAnsi="Arial" w:cs="Arial"/>
          <w:color w:val="000000"/>
          <w:sz w:val="23"/>
          <w:szCs w:val="23"/>
        </w:rPr>
        <w:t>, social e di governance hanno acquisito un ruolo centrale nelle pratiche aziendali ed è corretto che le stesse siano considerate a livello informativo anche nella logica dell’impatto che l’ambiente esterno può avere sull’attività aziendale”.</w:t>
      </w:r>
    </w:p>
    <w:p w14:paraId="5976DC42" w14:textId="77777777" w:rsidR="00600DE4" w:rsidRPr="00600DE4" w:rsidRDefault="00600DE4" w:rsidP="00600DE4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5F19A254" w14:textId="3FECA878" w:rsidR="00600DE4" w:rsidRDefault="00600DE4" w:rsidP="00600DE4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600DE4">
        <w:rPr>
          <w:rFonts w:ascii="Arial" w:hAnsi="Arial" w:cs="Arial"/>
          <w:color w:val="000000"/>
          <w:sz w:val="23"/>
          <w:szCs w:val="23"/>
        </w:rPr>
        <w:t xml:space="preserve">Il numero uno dei commercialisti sottolinea come “diversi sono gli argomenti che devono essere esaminati congiuntamente, a partire dalla disclosure sugli effetti derivanti dal </w:t>
      </w:r>
      <w:r w:rsidRPr="00600DE4">
        <w:rPr>
          <w:rFonts w:ascii="Arial" w:hAnsi="Arial" w:cs="Arial"/>
          <w:b/>
          <w:bCs/>
          <w:color w:val="000000"/>
          <w:sz w:val="23"/>
          <w:szCs w:val="23"/>
        </w:rPr>
        <w:t>cambiamento climatico</w:t>
      </w:r>
      <w:r w:rsidRPr="00600DE4">
        <w:rPr>
          <w:rFonts w:ascii="Arial" w:hAnsi="Arial" w:cs="Arial"/>
          <w:color w:val="000000"/>
          <w:sz w:val="23"/>
          <w:szCs w:val="23"/>
        </w:rPr>
        <w:t xml:space="preserve"> per arrivare ai rischi connessi alla </w:t>
      </w:r>
      <w:r w:rsidRPr="00600DE4">
        <w:rPr>
          <w:rFonts w:ascii="Arial" w:hAnsi="Arial" w:cs="Arial"/>
          <w:b/>
          <w:bCs/>
          <w:color w:val="000000"/>
          <w:sz w:val="23"/>
          <w:szCs w:val="23"/>
        </w:rPr>
        <w:t>gestione degli intangibili e del capitale umano</w:t>
      </w:r>
      <w:r w:rsidRPr="00600DE4">
        <w:rPr>
          <w:rFonts w:ascii="Arial" w:hAnsi="Arial" w:cs="Arial"/>
          <w:color w:val="000000"/>
          <w:sz w:val="23"/>
          <w:szCs w:val="23"/>
        </w:rPr>
        <w:t xml:space="preserve">. In questa prospettiva – aggiunge -, particolare attenzione deve essere riservata al progetto sul </w:t>
      </w:r>
      <w:r w:rsidRPr="00600DE4">
        <w:rPr>
          <w:rFonts w:ascii="Arial" w:hAnsi="Arial" w:cs="Arial"/>
          <w:b/>
          <w:bCs/>
          <w:color w:val="000000"/>
          <w:sz w:val="23"/>
          <w:szCs w:val="23"/>
        </w:rPr>
        <w:t xml:space="preserve">Management </w:t>
      </w:r>
      <w:proofErr w:type="spellStart"/>
      <w:r w:rsidRPr="00600DE4">
        <w:rPr>
          <w:rFonts w:ascii="Arial" w:hAnsi="Arial" w:cs="Arial"/>
          <w:b/>
          <w:bCs/>
          <w:color w:val="000000"/>
          <w:sz w:val="23"/>
          <w:szCs w:val="23"/>
        </w:rPr>
        <w:t>Commentary</w:t>
      </w:r>
      <w:proofErr w:type="spellEnd"/>
      <w:r w:rsidRPr="00600DE4">
        <w:rPr>
          <w:rFonts w:ascii="Arial" w:hAnsi="Arial" w:cs="Arial"/>
          <w:b/>
          <w:bCs/>
          <w:color w:val="000000"/>
          <w:sz w:val="23"/>
          <w:szCs w:val="23"/>
        </w:rPr>
        <w:t xml:space="preserve"> (MC)</w:t>
      </w:r>
      <w:r w:rsidRPr="00600DE4">
        <w:rPr>
          <w:rFonts w:ascii="Arial" w:hAnsi="Arial" w:cs="Arial"/>
          <w:color w:val="000000"/>
          <w:sz w:val="23"/>
          <w:szCs w:val="23"/>
        </w:rPr>
        <w:t> che si potrebbe candidare a svolgere un ruolo di “</w:t>
      </w:r>
      <w:r w:rsidRPr="00600DE4">
        <w:rPr>
          <w:rFonts w:ascii="Arial" w:hAnsi="Arial" w:cs="Arial"/>
          <w:b/>
          <w:bCs/>
          <w:color w:val="000000"/>
          <w:sz w:val="23"/>
          <w:szCs w:val="23"/>
        </w:rPr>
        <w:t>report unico</w:t>
      </w:r>
      <w:r w:rsidRPr="00600DE4">
        <w:rPr>
          <w:rFonts w:ascii="Arial" w:hAnsi="Arial" w:cs="Arial"/>
          <w:color w:val="000000"/>
          <w:sz w:val="23"/>
          <w:szCs w:val="23"/>
        </w:rPr>
        <w:t xml:space="preserve">” dell’attività aziendale, fruendo anche dell’expertise apportata dall’International </w:t>
      </w:r>
      <w:proofErr w:type="spellStart"/>
      <w:r w:rsidRPr="00600DE4">
        <w:rPr>
          <w:rFonts w:ascii="Arial" w:hAnsi="Arial" w:cs="Arial"/>
          <w:color w:val="000000"/>
          <w:sz w:val="23"/>
          <w:szCs w:val="23"/>
        </w:rPr>
        <w:t>Integrated</w:t>
      </w:r>
      <w:proofErr w:type="spellEnd"/>
      <w:r w:rsidRPr="00600DE4">
        <w:rPr>
          <w:rFonts w:ascii="Arial" w:hAnsi="Arial" w:cs="Arial"/>
          <w:color w:val="000000"/>
          <w:sz w:val="23"/>
          <w:szCs w:val="23"/>
        </w:rPr>
        <w:t xml:space="preserve"> Reporting </w:t>
      </w:r>
      <w:proofErr w:type="spellStart"/>
      <w:r w:rsidRPr="00600DE4">
        <w:rPr>
          <w:rFonts w:ascii="Arial" w:hAnsi="Arial" w:cs="Arial"/>
          <w:color w:val="000000"/>
          <w:sz w:val="23"/>
          <w:szCs w:val="23"/>
        </w:rPr>
        <w:t>Council</w:t>
      </w:r>
      <w:proofErr w:type="spellEnd"/>
      <w:r w:rsidRPr="00600DE4">
        <w:rPr>
          <w:rFonts w:ascii="Arial" w:hAnsi="Arial" w:cs="Arial"/>
          <w:color w:val="000000"/>
          <w:sz w:val="23"/>
          <w:szCs w:val="23"/>
        </w:rPr>
        <w:t xml:space="preserve">, consolidato nella veste di Value Reporting Foundation nel 2022 all’interno dell’IFRS Foundation. Potrebbero delinearsi, in sostanza, le possibilità per considerare il MC come un </w:t>
      </w:r>
      <w:r w:rsidRPr="00600DE4">
        <w:rPr>
          <w:rFonts w:ascii="Arial" w:hAnsi="Arial" w:cs="Arial"/>
          <w:b/>
          <w:bCs/>
          <w:color w:val="000000"/>
          <w:sz w:val="23"/>
          <w:szCs w:val="23"/>
        </w:rPr>
        <w:t>documento sintetico di comunicazione integrata</w:t>
      </w:r>
      <w:r w:rsidRPr="00600DE4">
        <w:rPr>
          <w:rFonts w:ascii="Arial" w:hAnsi="Arial" w:cs="Arial"/>
          <w:color w:val="000000"/>
          <w:sz w:val="23"/>
          <w:szCs w:val="23"/>
        </w:rPr>
        <w:t>”.</w:t>
      </w:r>
    </w:p>
    <w:p w14:paraId="4700BCF0" w14:textId="77777777" w:rsidR="00600DE4" w:rsidRPr="00600DE4" w:rsidRDefault="00600DE4" w:rsidP="00600DE4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75755CC9" w14:textId="77777777" w:rsidR="00600DE4" w:rsidRPr="00600DE4" w:rsidRDefault="00600DE4" w:rsidP="00600DE4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600DE4">
        <w:rPr>
          <w:rFonts w:ascii="Arial" w:hAnsi="Arial" w:cs="Arial"/>
          <w:color w:val="000000"/>
          <w:sz w:val="23"/>
          <w:szCs w:val="23"/>
        </w:rPr>
        <w:lastRenderedPageBreak/>
        <w:t>“Quello dell’IFRS Foundation – ha concluso – è un movimento che, seppur rivolto in linea teorica alle imprese che operano in tutto il globo, si deve confrontare con quanto sta accadendo negli specifici contesti regionali e, anzitutto, nell’</w:t>
      </w:r>
      <w:r w:rsidRPr="00600DE4">
        <w:rPr>
          <w:rFonts w:ascii="Arial" w:hAnsi="Arial" w:cs="Arial"/>
          <w:b/>
          <w:bCs/>
          <w:color w:val="000000"/>
          <w:sz w:val="23"/>
          <w:szCs w:val="23"/>
        </w:rPr>
        <w:t>Unione Europea</w:t>
      </w:r>
      <w:r w:rsidRPr="00600DE4">
        <w:rPr>
          <w:rFonts w:ascii="Arial" w:hAnsi="Arial" w:cs="Arial"/>
          <w:color w:val="000000"/>
          <w:sz w:val="23"/>
          <w:szCs w:val="23"/>
        </w:rPr>
        <w:t xml:space="preserve">, riferimento istituzionale a livello mondiale. La vera sfida sarà traslare queste previsioni nella realtà delle </w:t>
      </w:r>
      <w:r w:rsidRPr="00600DE4">
        <w:rPr>
          <w:rFonts w:ascii="Arial" w:hAnsi="Arial" w:cs="Arial"/>
          <w:b/>
          <w:bCs/>
          <w:color w:val="000000"/>
          <w:sz w:val="23"/>
          <w:szCs w:val="23"/>
        </w:rPr>
        <w:t>piccole e medie imprese</w:t>
      </w:r>
      <w:r w:rsidRPr="00600DE4">
        <w:rPr>
          <w:rFonts w:ascii="Arial" w:hAnsi="Arial" w:cs="Arial"/>
          <w:color w:val="000000"/>
          <w:sz w:val="23"/>
          <w:szCs w:val="23"/>
        </w:rPr>
        <w:t xml:space="preserve">, quale anello della catena del valore e come entità a </w:t>
      </w:r>
      <w:proofErr w:type="gramStart"/>
      <w:r w:rsidRPr="00600DE4">
        <w:rPr>
          <w:rFonts w:ascii="Arial" w:hAnsi="Arial" w:cs="Arial"/>
          <w:color w:val="000000"/>
          <w:sz w:val="23"/>
          <w:szCs w:val="23"/>
        </w:rPr>
        <w:t>se</w:t>
      </w:r>
      <w:proofErr w:type="gramEnd"/>
      <w:r w:rsidRPr="00600DE4">
        <w:rPr>
          <w:rFonts w:ascii="Arial" w:hAnsi="Arial" w:cs="Arial"/>
          <w:color w:val="000000"/>
          <w:sz w:val="23"/>
          <w:szCs w:val="23"/>
        </w:rPr>
        <w:t xml:space="preserve"> stanti, che, seppur incidano singolarmente in maniera relativa a livello ESG, rappresentano complessivamente più del </w:t>
      </w:r>
      <w:r w:rsidRPr="00600DE4">
        <w:rPr>
          <w:rFonts w:ascii="Arial" w:hAnsi="Arial" w:cs="Arial"/>
          <w:b/>
          <w:bCs/>
          <w:color w:val="000000"/>
          <w:sz w:val="23"/>
          <w:szCs w:val="23"/>
        </w:rPr>
        <w:t>95% delle imprese dei paesi OCSE</w:t>
      </w:r>
      <w:r w:rsidRPr="00600DE4">
        <w:rPr>
          <w:rFonts w:ascii="Arial" w:hAnsi="Arial" w:cs="Arial"/>
          <w:color w:val="000000"/>
          <w:sz w:val="23"/>
          <w:szCs w:val="23"/>
        </w:rPr>
        <w:t> e incidono per circa due terzi delle esternalità negative globali ambientali”.</w:t>
      </w:r>
    </w:p>
    <w:p w14:paraId="3F43AC74" w14:textId="134C63A2" w:rsidR="00E67C39" w:rsidRPr="00600DE4" w:rsidRDefault="00E67C39" w:rsidP="00600DE4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sectPr w:rsidR="00E67C39" w:rsidRPr="00600DE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81A21" w14:textId="77777777" w:rsidR="00E222E1" w:rsidRDefault="00E222E1" w:rsidP="009E7020">
      <w:pPr>
        <w:spacing w:after="0" w:line="240" w:lineRule="auto"/>
      </w:pPr>
      <w:r>
        <w:separator/>
      </w:r>
    </w:p>
  </w:endnote>
  <w:endnote w:type="continuationSeparator" w:id="0">
    <w:p w14:paraId="2707B79A" w14:textId="77777777" w:rsidR="00E222E1" w:rsidRDefault="00E222E1" w:rsidP="009E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9C486" w14:textId="77777777" w:rsidR="00E222E1" w:rsidRDefault="00E222E1" w:rsidP="009E7020">
      <w:pPr>
        <w:spacing w:after="0" w:line="240" w:lineRule="auto"/>
      </w:pPr>
      <w:r>
        <w:separator/>
      </w:r>
    </w:p>
  </w:footnote>
  <w:footnote w:type="continuationSeparator" w:id="0">
    <w:p w14:paraId="6F4630CE" w14:textId="77777777" w:rsidR="00E222E1" w:rsidRDefault="00E222E1" w:rsidP="009E7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5F5C5" w14:textId="7EBAE532" w:rsidR="009E7020" w:rsidRDefault="009E7020" w:rsidP="009E7020">
    <w:pPr>
      <w:pStyle w:val="Intestazione"/>
      <w:jc w:val="center"/>
    </w:pPr>
    <w:r>
      <w:rPr>
        <w:noProof/>
      </w:rPr>
      <w:drawing>
        <wp:inline distT="0" distB="0" distL="0" distR="0" wp14:anchorId="62F79B49" wp14:editId="500D1D8E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AF"/>
    <w:rsid w:val="00013EFA"/>
    <w:rsid w:val="00076324"/>
    <w:rsid w:val="0008790A"/>
    <w:rsid w:val="000D52F6"/>
    <w:rsid w:val="000F1D00"/>
    <w:rsid w:val="00100C48"/>
    <w:rsid w:val="00111934"/>
    <w:rsid w:val="0012139F"/>
    <w:rsid w:val="0012231B"/>
    <w:rsid w:val="0013251E"/>
    <w:rsid w:val="002037F9"/>
    <w:rsid w:val="00221448"/>
    <w:rsid w:val="00260C29"/>
    <w:rsid w:val="00260C6B"/>
    <w:rsid w:val="00264582"/>
    <w:rsid w:val="00273FC4"/>
    <w:rsid w:val="002C0DF8"/>
    <w:rsid w:val="002E6C87"/>
    <w:rsid w:val="00396277"/>
    <w:rsid w:val="003D39FD"/>
    <w:rsid w:val="00493D44"/>
    <w:rsid w:val="004A488A"/>
    <w:rsid w:val="004C422D"/>
    <w:rsid w:val="005203BB"/>
    <w:rsid w:val="005D2D2C"/>
    <w:rsid w:val="00600DE4"/>
    <w:rsid w:val="006017E6"/>
    <w:rsid w:val="0063714D"/>
    <w:rsid w:val="00641380"/>
    <w:rsid w:val="006A03A2"/>
    <w:rsid w:val="006D5187"/>
    <w:rsid w:val="00746C58"/>
    <w:rsid w:val="0075699C"/>
    <w:rsid w:val="007C37BD"/>
    <w:rsid w:val="007E6A79"/>
    <w:rsid w:val="007F03B4"/>
    <w:rsid w:val="00812068"/>
    <w:rsid w:val="008353A8"/>
    <w:rsid w:val="00886285"/>
    <w:rsid w:val="00886EAF"/>
    <w:rsid w:val="0091660F"/>
    <w:rsid w:val="0093440C"/>
    <w:rsid w:val="00936CEB"/>
    <w:rsid w:val="009714FF"/>
    <w:rsid w:val="009E7020"/>
    <w:rsid w:val="009F6E09"/>
    <w:rsid w:val="00A10660"/>
    <w:rsid w:val="00A36F05"/>
    <w:rsid w:val="00A8724F"/>
    <w:rsid w:val="00A9411F"/>
    <w:rsid w:val="00B36709"/>
    <w:rsid w:val="00B53CEB"/>
    <w:rsid w:val="00BA5135"/>
    <w:rsid w:val="00BC2690"/>
    <w:rsid w:val="00C22784"/>
    <w:rsid w:val="00C25C3D"/>
    <w:rsid w:val="00C3168D"/>
    <w:rsid w:val="00C339F2"/>
    <w:rsid w:val="00D00165"/>
    <w:rsid w:val="00D05E53"/>
    <w:rsid w:val="00D14097"/>
    <w:rsid w:val="00D5168C"/>
    <w:rsid w:val="00D56E0F"/>
    <w:rsid w:val="00D57444"/>
    <w:rsid w:val="00D9771E"/>
    <w:rsid w:val="00DA798F"/>
    <w:rsid w:val="00DB73EC"/>
    <w:rsid w:val="00E222E1"/>
    <w:rsid w:val="00E51D8D"/>
    <w:rsid w:val="00E542B4"/>
    <w:rsid w:val="00E67C39"/>
    <w:rsid w:val="00EB4A66"/>
    <w:rsid w:val="00EC1FB4"/>
    <w:rsid w:val="00ED5402"/>
    <w:rsid w:val="00F250D9"/>
    <w:rsid w:val="00FD134E"/>
    <w:rsid w:val="00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3A4A"/>
  <w15:chartTrackingRefBased/>
  <w15:docId w15:val="{BDE6875F-C4DE-417E-9D00-6CA7C642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7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020"/>
  </w:style>
  <w:style w:type="paragraph" w:styleId="Pidipagina">
    <w:name w:val="footer"/>
    <w:basedOn w:val="Normale"/>
    <w:link w:val="PidipaginaCarattere"/>
    <w:uiPriority w:val="99"/>
    <w:unhideWhenUsed/>
    <w:rsid w:val="009E7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020"/>
  </w:style>
  <w:style w:type="paragraph" w:styleId="NormaleWeb">
    <w:name w:val="Normal (Web)"/>
    <w:basedOn w:val="Normale"/>
    <w:uiPriority w:val="99"/>
    <w:unhideWhenUsed/>
    <w:rsid w:val="006A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6A03A2"/>
    <w:rPr>
      <w:b/>
      <w:bCs/>
    </w:rPr>
  </w:style>
  <w:style w:type="character" w:styleId="Enfasicorsivo">
    <w:name w:val="Emphasis"/>
    <w:basedOn w:val="Carpredefinitoparagrafo"/>
    <w:uiPriority w:val="20"/>
    <w:qFormat/>
    <w:rsid w:val="006A03A2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6A03A2"/>
    <w:rPr>
      <w:color w:val="0000FF"/>
      <w:u w:val="single"/>
    </w:rPr>
  </w:style>
  <w:style w:type="paragraph" w:customStyle="1" w:styleId="Default">
    <w:name w:val="Default"/>
    <w:rsid w:val="001119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Regalbuto Salvatore</dc:creator>
  <cp:keywords/>
  <dc:description/>
  <cp:lastModifiedBy>Mastrogiacomo Tiziana</cp:lastModifiedBy>
  <cp:revision>20</cp:revision>
  <dcterms:created xsi:type="dcterms:W3CDTF">2024-11-11T10:38:00Z</dcterms:created>
  <dcterms:modified xsi:type="dcterms:W3CDTF">2024-11-14T08:47:00Z</dcterms:modified>
</cp:coreProperties>
</file>