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B3E9" w14:textId="77777777" w:rsidR="004B1D33" w:rsidRDefault="004B1D33" w:rsidP="002E445A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6F8AD5D3" w14:textId="77777777" w:rsidR="004B1D33" w:rsidRDefault="004B1D33" w:rsidP="002E445A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89FE525" w14:textId="0611AF9D" w:rsidR="00505E0A" w:rsidRDefault="00D52088" w:rsidP="002E445A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A456AF">
        <w:rPr>
          <w:rFonts w:ascii="Arial" w:hAnsi="Arial" w:cs="Arial"/>
          <w:b/>
          <w:bCs/>
          <w:sz w:val="23"/>
          <w:szCs w:val="23"/>
          <w:u w:val="single"/>
        </w:rPr>
        <w:t>Comunicato stampa</w:t>
      </w:r>
    </w:p>
    <w:p w14:paraId="3C8101E4" w14:textId="77777777" w:rsidR="00B9791C" w:rsidRPr="00A456AF" w:rsidRDefault="00B9791C" w:rsidP="002E445A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085BCB5D" w14:textId="77777777" w:rsidR="004C60D3" w:rsidRDefault="004C60D3" w:rsidP="004C60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</w:pPr>
      <w:r w:rsidRPr="004C60D3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PROCESSO TRIBUTARIO, FOCUS SULLA CONSULENZA TECNICA</w:t>
      </w:r>
    </w:p>
    <w:p w14:paraId="44180033" w14:textId="77777777" w:rsidR="004C60D3" w:rsidRPr="004C60D3" w:rsidRDefault="004C60D3" w:rsidP="004C60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</w:pPr>
    </w:p>
    <w:p w14:paraId="44956004" w14:textId="77777777" w:rsidR="004C60D3" w:rsidRDefault="004C60D3" w:rsidP="004C60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</w:pPr>
      <w:r w:rsidRPr="004C60D3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Da Consiglio e Fondazione nazionale dei commercialisti un documento a supporto dei commercialisti che svolgono questa funzione ausiliaria</w:t>
      </w:r>
    </w:p>
    <w:p w14:paraId="73872484" w14:textId="77777777" w:rsidR="004C60D3" w:rsidRDefault="004C60D3" w:rsidP="004C60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</w:pPr>
    </w:p>
    <w:p w14:paraId="319150E3" w14:textId="5C9C373F" w:rsidR="004C60D3" w:rsidRDefault="004C60D3" w:rsidP="004C60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 w:rsidRPr="004C60D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lang w:eastAsia="it-IT"/>
        </w:rPr>
        <w:t xml:space="preserve">Roma, </w:t>
      </w:r>
      <w:r w:rsidRPr="004C60D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lang w:eastAsia="it-IT"/>
        </w:rPr>
        <w:t>12 novembre 2024</w:t>
      </w:r>
      <w:r w:rsidRPr="004C60D3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- “La consulenza tecnica nel processo tributario” è il titolo di un documento di ricerca del Consiglio e della Fondazione nazionali dei commercialisti pubblicato oggi e rientrante nell’attività dell’area “Contenzioso tributario” alla quale è delegata la Consigliera nazionale Rosa D’Angiolella.</w:t>
      </w:r>
    </w:p>
    <w:p w14:paraId="54D909BE" w14:textId="77777777" w:rsidR="004C60D3" w:rsidRPr="004C60D3" w:rsidRDefault="004C60D3" w:rsidP="004C60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</w:p>
    <w:p w14:paraId="2ED8DE0C" w14:textId="77777777" w:rsidR="004C60D3" w:rsidRDefault="004C60D3" w:rsidP="004C60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 w:rsidRPr="004C60D3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Nell’ambito dei poteri istruttori riconosciuti alle Corti di Giustizia tributaria dall’articolo 7 del </w:t>
      </w:r>
      <w:proofErr w:type="spellStart"/>
      <w:r w:rsidRPr="004C60D3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D.Lgs.</w:t>
      </w:r>
      <w:proofErr w:type="spellEnd"/>
      <w:r w:rsidRPr="004C60D3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n. 546 del 1992 vi è quello di nominare un consulente tecnico quando occorre acquisire elementi conoscitivi di particolare complessità utili alla decisione della controversia. Il tema inerente alla corretta individuazione della funzione della consulenza tecnica e degli effetti dell’indagine peritale svolta risulta particolarmente delicato e non può prescindere da considerazioni di più ampio respiro in ordine alla natura del processo tributario”.</w:t>
      </w:r>
    </w:p>
    <w:p w14:paraId="2DABBC79" w14:textId="77777777" w:rsidR="004C60D3" w:rsidRPr="004C60D3" w:rsidRDefault="004C60D3" w:rsidP="004C60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</w:p>
    <w:p w14:paraId="50CB3412" w14:textId="77777777" w:rsidR="004C60D3" w:rsidRDefault="004C60D3" w:rsidP="004C60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 w:rsidRPr="004C60D3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Il documento, dopo una breve disamina della natura sostanzialmente dispositiva del processo tributario, dell’evoluzione storico normativa della disciplina che regola la consulenza tecnica nell’ambito di tale processo, si concentra sulla funzione e l’oggetto di detta consulenza. In particolare, viene analizzata la figura del consulente tecnico d’ufficio, le modalità di nomina, accettazione e svolgimento dell’incarico. Si affronta, inoltre, il tema della vincolatività della consulenza tecnica per il giudice richiedente, anche alla luce dei principali orientamenti espressi in materia dalla giurisprudenza di legittimità.</w:t>
      </w:r>
    </w:p>
    <w:p w14:paraId="7811F1A0" w14:textId="77777777" w:rsidR="004C60D3" w:rsidRPr="004C60D3" w:rsidRDefault="004C60D3" w:rsidP="004C60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</w:p>
    <w:p w14:paraId="1E997BD8" w14:textId="77777777" w:rsidR="004C60D3" w:rsidRPr="004C60D3" w:rsidRDefault="004C60D3" w:rsidP="004C60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 w:rsidRPr="004C60D3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Un ulteriore approfondimento è dedicato al rapporto tra la consulenza tecnica d’ufficio e quella di parte. Un cenno viene infine rivolto all’utilizzabilità e all’efficacia nell’ambito del processo tributario di consulenze tecniche rese in altri processi.</w:t>
      </w:r>
    </w:p>
    <w:p w14:paraId="509149B0" w14:textId="0130D721" w:rsidR="0018228F" w:rsidRPr="004C60D3" w:rsidRDefault="004C60D3" w:rsidP="004C60D3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lang w:eastAsia="it-IT"/>
        </w:rPr>
      </w:pPr>
      <w:r w:rsidRPr="004C60D3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Il documento, oltre che d’interesse per i professionisti impegnati nel settore della Giustizia tributaria, potrà risultare un utile supporto anche per commercialisti che svolgono questa importante funzione ausiliaria nell’ambito del processo tributario.</w:t>
      </w:r>
    </w:p>
    <w:sectPr w:rsidR="0018228F" w:rsidRPr="004C60D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20947" w14:textId="77777777" w:rsidR="00C72751" w:rsidRDefault="00C72751" w:rsidP="008A20F9">
      <w:pPr>
        <w:spacing w:after="0" w:line="240" w:lineRule="auto"/>
      </w:pPr>
      <w:r>
        <w:separator/>
      </w:r>
    </w:p>
  </w:endnote>
  <w:endnote w:type="continuationSeparator" w:id="0">
    <w:p w14:paraId="2B7AE68E" w14:textId="77777777" w:rsidR="00C72751" w:rsidRDefault="00C72751" w:rsidP="008A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F3E6" w14:textId="77777777" w:rsidR="00C72751" w:rsidRDefault="00C72751" w:rsidP="008A20F9">
      <w:pPr>
        <w:spacing w:after="0" w:line="240" w:lineRule="auto"/>
      </w:pPr>
      <w:r>
        <w:separator/>
      </w:r>
    </w:p>
  </w:footnote>
  <w:footnote w:type="continuationSeparator" w:id="0">
    <w:p w14:paraId="02F0A384" w14:textId="77777777" w:rsidR="00C72751" w:rsidRDefault="00C72751" w:rsidP="008A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C168" w14:textId="7377384B" w:rsidR="008A20F9" w:rsidRDefault="008A20F9" w:rsidP="008A20F9">
    <w:pPr>
      <w:pStyle w:val="Intestazione"/>
      <w:jc w:val="center"/>
    </w:pPr>
    <w:r>
      <w:rPr>
        <w:noProof/>
      </w:rPr>
      <w:drawing>
        <wp:inline distT="0" distB="0" distL="0" distR="0" wp14:anchorId="3FB781BE" wp14:editId="7DF93075">
          <wp:extent cx="2314575" cy="786130"/>
          <wp:effectExtent l="0" t="0" r="0" b="0"/>
          <wp:docPr id="155496730" name="Immagine 155496730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21D51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F36B1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9799A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E64724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3B57D5"/>
    <w:multiLevelType w:val="hybridMultilevel"/>
    <w:tmpl w:val="5C92A8B4"/>
    <w:lvl w:ilvl="0" w:tplc="A68CE26E">
      <w:numFmt w:val="bullet"/>
      <w:lvlText w:val="-"/>
      <w:lvlJc w:val="left"/>
      <w:pPr>
        <w:ind w:left="450" w:hanging="360"/>
      </w:pPr>
      <w:rPr>
        <w:rFonts w:ascii="inherit" w:eastAsia="Times New Roman" w:hAnsi="inherit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7DE18D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1981567">
    <w:abstractNumId w:val="4"/>
  </w:num>
  <w:num w:numId="2" w16cid:durableId="602764990">
    <w:abstractNumId w:val="0"/>
  </w:num>
  <w:num w:numId="3" w16cid:durableId="1000501617">
    <w:abstractNumId w:val="1"/>
  </w:num>
  <w:num w:numId="4" w16cid:durableId="1178426182">
    <w:abstractNumId w:val="2"/>
  </w:num>
  <w:num w:numId="5" w16cid:durableId="23793651">
    <w:abstractNumId w:val="5"/>
  </w:num>
  <w:num w:numId="6" w16cid:durableId="114446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94814"/>
    <w:rsid w:val="000C77CE"/>
    <w:rsid w:val="0018228F"/>
    <w:rsid w:val="001A5B2B"/>
    <w:rsid w:val="001D0398"/>
    <w:rsid w:val="001D4C69"/>
    <w:rsid w:val="002330A2"/>
    <w:rsid w:val="0024263F"/>
    <w:rsid w:val="00246292"/>
    <w:rsid w:val="00263457"/>
    <w:rsid w:val="00275AC0"/>
    <w:rsid w:val="002957A8"/>
    <w:rsid w:val="002D153D"/>
    <w:rsid w:val="002E445A"/>
    <w:rsid w:val="002F28B2"/>
    <w:rsid w:val="00301A37"/>
    <w:rsid w:val="00312B18"/>
    <w:rsid w:val="00336F75"/>
    <w:rsid w:val="00346C92"/>
    <w:rsid w:val="003507E0"/>
    <w:rsid w:val="00396974"/>
    <w:rsid w:val="003B7FE9"/>
    <w:rsid w:val="003C4E2B"/>
    <w:rsid w:val="003D52A1"/>
    <w:rsid w:val="004211FD"/>
    <w:rsid w:val="00423A7B"/>
    <w:rsid w:val="00431A4E"/>
    <w:rsid w:val="004547E1"/>
    <w:rsid w:val="004629E1"/>
    <w:rsid w:val="004A52D9"/>
    <w:rsid w:val="004B1D33"/>
    <w:rsid w:val="004B7FDF"/>
    <w:rsid w:val="004C60D3"/>
    <w:rsid w:val="004D7A70"/>
    <w:rsid w:val="004F5A82"/>
    <w:rsid w:val="005012D7"/>
    <w:rsid w:val="005043FB"/>
    <w:rsid w:val="00505E0A"/>
    <w:rsid w:val="00524B93"/>
    <w:rsid w:val="00543953"/>
    <w:rsid w:val="00582A23"/>
    <w:rsid w:val="0062115D"/>
    <w:rsid w:val="006359F9"/>
    <w:rsid w:val="00636CE6"/>
    <w:rsid w:val="00642003"/>
    <w:rsid w:val="00663ECE"/>
    <w:rsid w:val="006A2684"/>
    <w:rsid w:val="006D222D"/>
    <w:rsid w:val="00732B28"/>
    <w:rsid w:val="00754333"/>
    <w:rsid w:val="00764982"/>
    <w:rsid w:val="008511D0"/>
    <w:rsid w:val="00895C49"/>
    <w:rsid w:val="008A20F9"/>
    <w:rsid w:val="008A3007"/>
    <w:rsid w:val="008B4082"/>
    <w:rsid w:val="008D15CD"/>
    <w:rsid w:val="0090611A"/>
    <w:rsid w:val="009079FD"/>
    <w:rsid w:val="00911316"/>
    <w:rsid w:val="00935A37"/>
    <w:rsid w:val="00971DE9"/>
    <w:rsid w:val="009D397A"/>
    <w:rsid w:val="009E7612"/>
    <w:rsid w:val="009F1BED"/>
    <w:rsid w:val="009F4D5C"/>
    <w:rsid w:val="00A12D0E"/>
    <w:rsid w:val="00A25E53"/>
    <w:rsid w:val="00A26B9D"/>
    <w:rsid w:val="00A456AF"/>
    <w:rsid w:val="00A52B3D"/>
    <w:rsid w:val="00AD683B"/>
    <w:rsid w:val="00B1708E"/>
    <w:rsid w:val="00B71001"/>
    <w:rsid w:val="00B9791C"/>
    <w:rsid w:val="00BD45E2"/>
    <w:rsid w:val="00BF0F6C"/>
    <w:rsid w:val="00BF7B31"/>
    <w:rsid w:val="00C13394"/>
    <w:rsid w:val="00C51CDA"/>
    <w:rsid w:val="00C56162"/>
    <w:rsid w:val="00C72751"/>
    <w:rsid w:val="00CA7F23"/>
    <w:rsid w:val="00CE38C2"/>
    <w:rsid w:val="00D40E0C"/>
    <w:rsid w:val="00D41394"/>
    <w:rsid w:val="00D52088"/>
    <w:rsid w:val="00E03798"/>
    <w:rsid w:val="00E26BE2"/>
    <w:rsid w:val="00E34BB0"/>
    <w:rsid w:val="00E646A4"/>
    <w:rsid w:val="00E8677B"/>
    <w:rsid w:val="00EC353A"/>
    <w:rsid w:val="00ED27C6"/>
    <w:rsid w:val="00F010A2"/>
    <w:rsid w:val="00F01297"/>
    <w:rsid w:val="00F17684"/>
    <w:rsid w:val="00F4277A"/>
    <w:rsid w:val="00F61475"/>
    <w:rsid w:val="00F72001"/>
    <w:rsid w:val="00F94166"/>
    <w:rsid w:val="00FD2478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B4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B4082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8B4082"/>
  </w:style>
  <w:style w:type="paragraph" w:customStyle="1" w:styleId="Default">
    <w:name w:val="Default"/>
    <w:rsid w:val="003D52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table" w:styleId="Grigliatabella">
    <w:name w:val="Table Grid"/>
    <w:basedOn w:val="Tabellanormale"/>
    <w:uiPriority w:val="39"/>
    <w:rsid w:val="008A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E958-2D24-41A9-9F94-FAEC29EB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34</cp:revision>
  <dcterms:created xsi:type="dcterms:W3CDTF">2024-10-01T10:02:00Z</dcterms:created>
  <dcterms:modified xsi:type="dcterms:W3CDTF">2024-11-12T14:41:00Z</dcterms:modified>
</cp:coreProperties>
</file>