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4AE2" w14:textId="77777777" w:rsidR="009E7020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533764" w14:textId="77777777" w:rsidR="00A149E8" w:rsidRDefault="00A149E8" w:rsidP="000934B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D0A06EF" w14:textId="1D468B1A" w:rsidR="00746C58" w:rsidRPr="00B061E3" w:rsidRDefault="00886EAF" w:rsidP="000934B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B061E3">
        <w:rPr>
          <w:rFonts w:ascii="Arial" w:hAnsi="Arial" w:cs="Arial"/>
          <w:b/>
          <w:bCs/>
          <w:sz w:val="23"/>
          <w:szCs w:val="23"/>
          <w:u w:val="single"/>
        </w:rPr>
        <w:t>C</w:t>
      </w:r>
      <w:r w:rsidR="009E7020" w:rsidRPr="00B061E3">
        <w:rPr>
          <w:rFonts w:ascii="Arial" w:hAnsi="Arial" w:cs="Arial"/>
          <w:b/>
          <w:bCs/>
          <w:sz w:val="23"/>
          <w:szCs w:val="23"/>
          <w:u w:val="single"/>
        </w:rPr>
        <w:t>omunicato stampa</w:t>
      </w:r>
    </w:p>
    <w:p w14:paraId="02187748" w14:textId="77777777" w:rsidR="009E7020" w:rsidRPr="00B061E3" w:rsidRDefault="009E7020" w:rsidP="000934B2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C3890C5" w14:textId="36BE38D4" w:rsidR="009B425C" w:rsidRDefault="009B425C" w:rsidP="000934B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SOSTENIBILITÀ</w:t>
      </w:r>
      <w:r w:rsidR="000D52F6" w:rsidRPr="00B061E3">
        <w:rPr>
          <w:rFonts w:ascii="Arial" w:hAnsi="Arial" w:cs="Arial"/>
          <w:b/>
          <w:bCs/>
          <w:sz w:val="23"/>
          <w:szCs w:val="23"/>
        </w:rPr>
        <w:t xml:space="preserve">: </w:t>
      </w:r>
      <w:r w:rsidR="00D4403B">
        <w:rPr>
          <w:rFonts w:ascii="Arial" w:hAnsi="Arial" w:cs="Arial"/>
          <w:b/>
          <w:bCs/>
          <w:sz w:val="23"/>
          <w:szCs w:val="23"/>
        </w:rPr>
        <w:t xml:space="preserve">QUADERNO </w:t>
      </w:r>
      <w:r>
        <w:rPr>
          <w:rFonts w:ascii="Arial" w:hAnsi="Arial" w:cs="Arial"/>
          <w:b/>
          <w:bCs/>
          <w:sz w:val="23"/>
          <w:szCs w:val="23"/>
        </w:rPr>
        <w:t>DEI COMMERCIALISTI SUL RAPPORTO TRA PROFESSIONIST</w:t>
      </w:r>
      <w:r w:rsidR="00D4403B">
        <w:rPr>
          <w:rFonts w:ascii="Arial" w:hAnsi="Arial" w:cs="Arial"/>
          <w:b/>
          <w:bCs/>
          <w:sz w:val="23"/>
          <w:szCs w:val="23"/>
        </w:rPr>
        <w:t>I</w:t>
      </w:r>
      <w:r>
        <w:rPr>
          <w:rFonts w:ascii="Arial" w:hAnsi="Arial" w:cs="Arial"/>
          <w:b/>
          <w:bCs/>
          <w:sz w:val="23"/>
          <w:szCs w:val="23"/>
        </w:rPr>
        <w:t xml:space="preserve"> E AZIEND</w:t>
      </w:r>
      <w:r w:rsidR="00D4403B">
        <w:rPr>
          <w:rFonts w:ascii="Arial" w:hAnsi="Arial" w:cs="Arial"/>
          <w:b/>
          <w:bCs/>
          <w:sz w:val="23"/>
          <w:szCs w:val="23"/>
        </w:rPr>
        <w:t>E</w:t>
      </w:r>
    </w:p>
    <w:p w14:paraId="0985DF55" w14:textId="77777777" w:rsidR="009B425C" w:rsidRDefault="009B425C" w:rsidP="000934B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FF173CB" w14:textId="6304FA86" w:rsidR="009E7020" w:rsidRPr="000612EC" w:rsidRDefault="000612EC" w:rsidP="000612EC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612EC">
        <w:rPr>
          <w:rFonts w:ascii="Arial" w:hAnsi="Arial" w:cs="Arial"/>
          <w:b/>
          <w:bCs/>
          <w:sz w:val="23"/>
          <w:szCs w:val="23"/>
        </w:rPr>
        <w:t>Pubblicato da Consiglio e Fondazione Nazionali della categoria per diffondere un approccio che garantisca il passaggio da un’attività di “consulenza professionale” a</w:t>
      </w:r>
      <w:r>
        <w:rPr>
          <w:rFonts w:ascii="Arial" w:hAnsi="Arial" w:cs="Arial"/>
          <w:b/>
          <w:bCs/>
          <w:sz w:val="23"/>
          <w:szCs w:val="23"/>
        </w:rPr>
        <w:t>d</w:t>
      </w:r>
      <w:r w:rsidRPr="000612EC">
        <w:rPr>
          <w:rFonts w:ascii="Arial" w:hAnsi="Arial" w:cs="Arial"/>
          <w:b/>
          <w:bCs/>
          <w:sz w:val="23"/>
          <w:szCs w:val="23"/>
        </w:rPr>
        <w:t xml:space="preserve"> un</w:t>
      </w:r>
      <w:r w:rsidR="00252B41">
        <w:rPr>
          <w:rFonts w:ascii="Arial" w:hAnsi="Arial" w:cs="Arial"/>
          <w:b/>
          <w:bCs/>
          <w:sz w:val="23"/>
          <w:szCs w:val="23"/>
        </w:rPr>
        <w:t xml:space="preserve">a </w:t>
      </w:r>
      <w:r w:rsidRPr="000612EC">
        <w:rPr>
          <w:rFonts w:ascii="Arial" w:hAnsi="Arial" w:cs="Arial"/>
          <w:b/>
          <w:bCs/>
          <w:sz w:val="23"/>
          <w:szCs w:val="23"/>
        </w:rPr>
        <w:t>di “azione aziendale”</w:t>
      </w:r>
    </w:p>
    <w:p w14:paraId="3499E88F" w14:textId="77777777" w:rsidR="000612EC" w:rsidRDefault="000612EC" w:rsidP="000612EC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E03BB34" w14:textId="77777777" w:rsidR="000612EC" w:rsidRPr="00B061E3" w:rsidRDefault="000612EC" w:rsidP="000612EC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2431C2D" w14:textId="4006FA01" w:rsidR="000934B2" w:rsidRPr="00B061E3" w:rsidRDefault="009E7020" w:rsidP="000934B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B061E3">
        <w:rPr>
          <w:rFonts w:ascii="Arial" w:hAnsi="Arial" w:cs="Arial"/>
          <w:i/>
          <w:iCs/>
          <w:sz w:val="23"/>
          <w:szCs w:val="23"/>
        </w:rPr>
        <w:t xml:space="preserve">Roma, </w:t>
      </w:r>
      <w:r w:rsidR="000934B2" w:rsidRPr="00B061E3">
        <w:rPr>
          <w:rFonts w:ascii="Arial" w:hAnsi="Arial" w:cs="Arial"/>
          <w:i/>
          <w:iCs/>
          <w:sz w:val="23"/>
          <w:szCs w:val="23"/>
        </w:rPr>
        <w:t>5 novembre</w:t>
      </w:r>
      <w:r w:rsidRPr="00B061E3">
        <w:rPr>
          <w:rFonts w:ascii="Arial" w:hAnsi="Arial" w:cs="Arial"/>
          <w:i/>
          <w:iCs/>
          <w:sz w:val="23"/>
          <w:szCs w:val="23"/>
        </w:rPr>
        <w:t xml:space="preserve"> 2024</w:t>
      </w:r>
      <w:r w:rsidRPr="00B061E3">
        <w:rPr>
          <w:rFonts w:ascii="Arial" w:hAnsi="Arial" w:cs="Arial"/>
          <w:sz w:val="23"/>
          <w:szCs w:val="23"/>
        </w:rPr>
        <w:t xml:space="preserve"> – </w:t>
      </w:r>
      <w:r w:rsidR="00E45B35" w:rsidRPr="00B061E3">
        <w:rPr>
          <w:rFonts w:ascii="Arial" w:hAnsi="Arial" w:cs="Arial"/>
          <w:sz w:val="23"/>
          <w:szCs w:val="23"/>
        </w:rPr>
        <w:t xml:space="preserve">Il Consiglio e la </w:t>
      </w:r>
      <w:r w:rsidR="000934B2" w:rsidRPr="00B061E3">
        <w:rPr>
          <w:rFonts w:ascii="Arial" w:hAnsi="Arial" w:cs="Arial"/>
          <w:sz w:val="23"/>
          <w:szCs w:val="23"/>
        </w:rPr>
        <w:t>Fondazione Nazionale dei Commercialisti</w:t>
      </w:r>
      <w:r w:rsidR="00E45B35" w:rsidRPr="00B061E3">
        <w:rPr>
          <w:rFonts w:ascii="Arial" w:hAnsi="Arial" w:cs="Arial"/>
          <w:sz w:val="23"/>
          <w:szCs w:val="23"/>
        </w:rPr>
        <w:t xml:space="preserve"> </w:t>
      </w:r>
      <w:r w:rsidR="00CD70AC">
        <w:rPr>
          <w:rFonts w:ascii="Arial" w:hAnsi="Arial" w:cs="Arial"/>
          <w:sz w:val="23"/>
          <w:szCs w:val="23"/>
        </w:rPr>
        <w:t xml:space="preserve">- </w:t>
      </w:r>
      <w:r w:rsidR="00E45B35" w:rsidRPr="00B061E3">
        <w:rPr>
          <w:rFonts w:ascii="Arial" w:hAnsi="Arial" w:cs="Arial"/>
          <w:sz w:val="23"/>
          <w:szCs w:val="23"/>
        </w:rPr>
        <w:t xml:space="preserve">Ricerca </w:t>
      </w:r>
      <w:r w:rsidR="000934B2" w:rsidRPr="00B061E3">
        <w:rPr>
          <w:rFonts w:ascii="Arial" w:hAnsi="Arial" w:cs="Arial"/>
          <w:sz w:val="23"/>
          <w:szCs w:val="23"/>
        </w:rPr>
        <w:t>pubblica</w:t>
      </w:r>
      <w:r w:rsidR="00E45B35" w:rsidRPr="00B061E3">
        <w:rPr>
          <w:rFonts w:ascii="Arial" w:hAnsi="Arial" w:cs="Arial"/>
          <w:sz w:val="23"/>
          <w:szCs w:val="23"/>
        </w:rPr>
        <w:t>no oggi</w:t>
      </w:r>
      <w:r w:rsidR="000934B2" w:rsidRPr="00B061E3">
        <w:rPr>
          <w:rFonts w:ascii="Arial" w:hAnsi="Arial" w:cs="Arial"/>
          <w:sz w:val="23"/>
          <w:szCs w:val="23"/>
        </w:rPr>
        <w:t xml:space="preserve"> il </w:t>
      </w:r>
      <w:r w:rsidR="00E45B35" w:rsidRPr="00B061E3">
        <w:rPr>
          <w:rFonts w:ascii="Arial" w:hAnsi="Arial" w:cs="Arial"/>
          <w:sz w:val="23"/>
          <w:szCs w:val="23"/>
        </w:rPr>
        <w:t>Quaderno di economia aziendale</w:t>
      </w:r>
      <w:r w:rsidR="000934B2" w:rsidRPr="00B061E3">
        <w:rPr>
          <w:rFonts w:ascii="Arial" w:hAnsi="Arial" w:cs="Arial"/>
          <w:sz w:val="23"/>
          <w:szCs w:val="23"/>
        </w:rPr>
        <w:t xml:space="preserve"> “</w:t>
      </w:r>
      <w:r w:rsidR="000934B2" w:rsidRPr="00B061E3">
        <w:rPr>
          <w:rFonts w:ascii="Arial" w:hAnsi="Arial" w:cs="Arial"/>
          <w:b/>
          <w:bCs/>
          <w:sz w:val="23"/>
          <w:szCs w:val="23"/>
        </w:rPr>
        <w:t>Professionisti e aziende nello scenario della sostenibilità. Attività in evoluzione e competenze emergenti</w:t>
      </w:r>
      <w:r w:rsidR="000934B2" w:rsidRPr="00B061E3">
        <w:rPr>
          <w:rFonts w:ascii="Arial" w:hAnsi="Arial" w:cs="Arial"/>
          <w:bCs/>
          <w:sz w:val="23"/>
          <w:szCs w:val="23"/>
        </w:rPr>
        <w:t xml:space="preserve">”, che prova a fornire un quadro di riferimento generale in cui rappresentare lo scenario attuale degli elementi dell’economia della sostenibilità </w:t>
      </w:r>
      <w:r w:rsidR="000934B2" w:rsidRPr="00872908">
        <w:rPr>
          <w:rFonts w:ascii="Arial" w:hAnsi="Arial" w:cs="Arial"/>
          <w:b/>
          <w:sz w:val="23"/>
          <w:szCs w:val="23"/>
        </w:rPr>
        <w:t>per identificare e collocare</w:t>
      </w:r>
      <w:r w:rsidR="000934B2" w:rsidRPr="00B061E3">
        <w:rPr>
          <w:rFonts w:ascii="Arial" w:hAnsi="Arial" w:cs="Arial"/>
          <w:bCs/>
          <w:sz w:val="23"/>
          <w:szCs w:val="23"/>
        </w:rPr>
        <w:t xml:space="preserve"> le </w:t>
      </w:r>
      <w:r w:rsidR="000934B2" w:rsidRPr="00872908">
        <w:rPr>
          <w:rFonts w:ascii="Arial" w:hAnsi="Arial" w:cs="Arial"/>
          <w:b/>
          <w:sz w:val="23"/>
          <w:szCs w:val="23"/>
        </w:rPr>
        <w:t>attività e le funzioni professionali</w:t>
      </w:r>
      <w:r w:rsidR="000934B2" w:rsidRPr="00B061E3">
        <w:rPr>
          <w:rFonts w:ascii="Arial" w:hAnsi="Arial" w:cs="Arial"/>
          <w:bCs/>
          <w:sz w:val="23"/>
          <w:szCs w:val="23"/>
        </w:rPr>
        <w:t xml:space="preserve"> realizzate nel supporto consulenziale e operativo alle aziende che abbiano intrapreso, vogliano intraprendere o debbano intraprendere un percorso verso la sostenibilità.</w:t>
      </w:r>
    </w:p>
    <w:p w14:paraId="7BF71408" w14:textId="77777777" w:rsidR="000934B2" w:rsidRPr="00B061E3" w:rsidRDefault="000934B2" w:rsidP="000934B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1F09DA26" w14:textId="1E6506C4" w:rsidR="006504C8" w:rsidRDefault="000934B2" w:rsidP="000934B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B061E3">
        <w:rPr>
          <w:rFonts w:ascii="Arial" w:hAnsi="Arial" w:cs="Arial"/>
          <w:bCs/>
          <w:sz w:val="23"/>
          <w:szCs w:val="23"/>
        </w:rPr>
        <w:t>Per orientarsi in questo scenario</w:t>
      </w:r>
      <w:r w:rsidR="00252B41">
        <w:rPr>
          <w:rFonts w:ascii="Arial" w:hAnsi="Arial" w:cs="Arial"/>
          <w:bCs/>
          <w:sz w:val="23"/>
          <w:szCs w:val="23"/>
        </w:rPr>
        <w:t>,</w:t>
      </w:r>
      <w:r w:rsidRPr="00B061E3">
        <w:rPr>
          <w:rFonts w:ascii="Arial" w:hAnsi="Arial" w:cs="Arial"/>
          <w:bCs/>
          <w:sz w:val="23"/>
          <w:szCs w:val="23"/>
        </w:rPr>
        <w:t xml:space="preserve"> </w:t>
      </w:r>
      <w:r w:rsidRPr="009B425C">
        <w:rPr>
          <w:rFonts w:ascii="Arial" w:hAnsi="Arial" w:cs="Arial"/>
          <w:b/>
          <w:sz w:val="23"/>
          <w:szCs w:val="23"/>
        </w:rPr>
        <w:t xml:space="preserve">il </w:t>
      </w:r>
      <w:r w:rsidR="00F55B6A">
        <w:rPr>
          <w:rFonts w:ascii="Arial" w:hAnsi="Arial" w:cs="Arial"/>
          <w:b/>
          <w:sz w:val="23"/>
          <w:szCs w:val="23"/>
        </w:rPr>
        <w:t>Quaderno</w:t>
      </w:r>
      <w:r w:rsidRPr="009B425C">
        <w:rPr>
          <w:rFonts w:ascii="Arial" w:hAnsi="Arial" w:cs="Arial"/>
          <w:b/>
          <w:sz w:val="23"/>
          <w:szCs w:val="23"/>
        </w:rPr>
        <w:t xml:space="preserve"> si sviluppa considerando diversi punti</w:t>
      </w:r>
      <w:r w:rsidRPr="00B061E3">
        <w:rPr>
          <w:rFonts w:ascii="Arial" w:hAnsi="Arial" w:cs="Arial"/>
          <w:bCs/>
          <w:sz w:val="23"/>
          <w:szCs w:val="23"/>
        </w:rPr>
        <w:t xml:space="preserve"> </w:t>
      </w:r>
      <w:r w:rsidRPr="009B425C">
        <w:rPr>
          <w:rFonts w:ascii="Arial" w:hAnsi="Arial" w:cs="Arial"/>
          <w:b/>
          <w:sz w:val="23"/>
          <w:szCs w:val="23"/>
        </w:rPr>
        <w:t>di osservazione</w:t>
      </w:r>
      <w:r w:rsidRPr="00B061E3">
        <w:rPr>
          <w:rFonts w:ascii="Arial" w:hAnsi="Arial" w:cs="Arial"/>
          <w:bCs/>
          <w:sz w:val="23"/>
          <w:szCs w:val="23"/>
        </w:rPr>
        <w:t xml:space="preserve"> sul “campo” della sostenibilità. In particolare, nella </w:t>
      </w:r>
      <w:r w:rsidRPr="00B061E3">
        <w:rPr>
          <w:rFonts w:ascii="Arial" w:hAnsi="Arial" w:cs="Arial"/>
          <w:b/>
          <w:sz w:val="23"/>
          <w:szCs w:val="23"/>
        </w:rPr>
        <w:t>prospettiva professionale</w:t>
      </w:r>
      <w:r w:rsidRPr="00B061E3">
        <w:rPr>
          <w:rFonts w:ascii="Arial" w:hAnsi="Arial" w:cs="Arial"/>
          <w:bCs/>
          <w:sz w:val="23"/>
          <w:szCs w:val="23"/>
        </w:rPr>
        <w:t xml:space="preserve">, i fenomeni sono osservati sotto due lenti: quella della sostenibilità del sistema e quella della sostenibilità dell’azienda. Ci si trova quindi in un universo straordinariamente più esteso rispetto a quello da cui tutto ebbe origine: quello della rendicontazione. Nella </w:t>
      </w:r>
      <w:r w:rsidRPr="00B061E3">
        <w:rPr>
          <w:rFonts w:ascii="Arial" w:hAnsi="Arial" w:cs="Arial"/>
          <w:b/>
          <w:sz w:val="23"/>
          <w:szCs w:val="23"/>
        </w:rPr>
        <w:t>prospettiva delle aziende</w:t>
      </w:r>
      <w:r w:rsidRPr="00B061E3">
        <w:rPr>
          <w:rFonts w:ascii="Arial" w:hAnsi="Arial" w:cs="Arial"/>
          <w:bCs/>
          <w:sz w:val="23"/>
          <w:szCs w:val="23"/>
        </w:rPr>
        <w:t>, poi, per intercettare quei rischi geopolitici transazionali o planetari congeniti ai fenomeni e agli scenari della sostenibilità, allo scopo di attutirne le ripercussioni nei rapporti economici e sociali e per salvaguardare le condizioni di continuità e di sviluppo in una cornice di sostenibilità sistemica, occorre sviluppare un approccio diverso da quello tradizionale, con cui rispondere alle nuove esigenze delle imprese, che non si limiti a prendere in considerazione gli aspetti ESG, ma permetta di ripensare strategicamente l’azienda e il suo modello economico-produttivo.</w:t>
      </w:r>
    </w:p>
    <w:p w14:paraId="76A354A0" w14:textId="77777777" w:rsidR="006504C8" w:rsidRDefault="006504C8" w:rsidP="000934B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539CB188" w14:textId="286906D7" w:rsidR="000934B2" w:rsidRPr="00B061E3" w:rsidRDefault="000934B2" w:rsidP="000934B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B061E3">
        <w:rPr>
          <w:rFonts w:ascii="Arial" w:hAnsi="Arial" w:cs="Arial"/>
          <w:bCs/>
          <w:sz w:val="23"/>
          <w:szCs w:val="23"/>
        </w:rPr>
        <w:t>Per esercitare tale funzione</w:t>
      </w:r>
      <w:r w:rsidR="00F55B6A">
        <w:rPr>
          <w:rFonts w:ascii="Arial" w:hAnsi="Arial" w:cs="Arial"/>
          <w:bCs/>
          <w:sz w:val="23"/>
          <w:szCs w:val="23"/>
        </w:rPr>
        <w:t xml:space="preserve"> – si legge nel testo – </w:t>
      </w:r>
      <w:r w:rsidRPr="009B425C">
        <w:rPr>
          <w:rFonts w:ascii="Arial" w:hAnsi="Arial" w:cs="Arial"/>
          <w:b/>
          <w:sz w:val="23"/>
          <w:szCs w:val="23"/>
        </w:rPr>
        <w:t>le “tradizionali” competenze professionali potrebbero non bastare</w:t>
      </w:r>
      <w:r w:rsidRPr="00B061E3">
        <w:rPr>
          <w:rFonts w:ascii="Arial" w:hAnsi="Arial" w:cs="Arial"/>
          <w:bCs/>
          <w:sz w:val="23"/>
          <w:szCs w:val="23"/>
        </w:rPr>
        <w:t>: molte attività negli ambiti della pianificazione strategica, della finanza, della governance societaria, della stessa rendicontazione, del controllo, e le relative competenze, non sono ancora precisamente cristallizzate nella norma né puntualmente codificate nella prassi.</w:t>
      </w:r>
    </w:p>
    <w:p w14:paraId="35E75AFC" w14:textId="77777777" w:rsidR="000934B2" w:rsidRPr="00B061E3" w:rsidRDefault="000934B2" w:rsidP="000934B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57DE09B0" w14:textId="28FE948B" w:rsidR="00F00049" w:rsidRDefault="000934B2" w:rsidP="000934B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061E3">
        <w:rPr>
          <w:rFonts w:ascii="Arial" w:hAnsi="Arial" w:cs="Arial"/>
          <w:bCs/>
          <w:sz w:val="23"/>
          <w:szCs w:val="23"/>
        </w:rPr>
        <w:t>R</w:t>
      </w:r>
      <w:r w:rsidRPr="00B061E3">
        <w:rPr>
          <w:rFonts w:ascii="Arial" w:hAnsi="Arial" w:cs="Arial"/>
          <w:sz w:val="23"/>
          <w:szCs w:val="23"/>
        </w:rPr>
        <w:t>agionando sulla relazione tra le attività e le funzioni, da un lato, e le competenze, dall’altro, della sostenibilità e nella sostenibilità</w:t>
      </w:r>
      <w:r w:rsidR="009B425C">
        <w:rPr>
          <w:rFonts w:ascii="Arial" w:hAnsi="Arial" w:cs="Arial"/>
          <w:sz w:val="23"/>
          <w:szCs w:val="23"/>
        </w:rPr>
        <w:t xml:space="preserve"> – </w:t>
      </w:r>
      <w:r w:rsidRPr="00B061E3">
        <w:rPr>
          <w:rFonts w:ascii="Arial" w:hAnsi="Arial" w:cs="Arial"/>
          <w:sz w:val="23"/>
          <w:szCs w:val="23"/>
        </w:rPr>
        <w:t>relazione, questa, che si muove, di fatto, in modo bidirezionale</w:t>
      </w:r>
      <w:r w:rsidR="009B425C">
        <w:rPr>
          <w:rFonts w:ascii="Arial" w:hAnsi="Arial" w:cs="Arial"/>
          <w:sz w:val="23"/>
          <w:szCs w:val="23"/>
        </w:rPr>
        <w:t xml:space="preserve"> – </w:t>
      </w:r>
      <w:r w:rsidRPr="00B061E3">
        <w:rPr>
          <w:rFonts w:ascii="Arial" w:hAnsi="Arial" w:cs="Arial"/>
          <w:sz w:val="23"/>
          <w:szCs w:val="23"/>
        </w:rPr>
        <w:t>i</w:t>
      </w:r>
      <w:r w:rsidRPr="00B061E3">
        <w:rPr>
          <w:rFonts w:ascii="Arial" w:hAnsi="Arial" w:cs="Arial"/>
          <w:bCs/>
          <w:sz w:val="23"/>
          <w:szCs w:val="23"/>
        </w:rPr>
        <w:t xml:space="preserve">l documento intende puntare la luce sul </w:t>
      </w:r>
      <w:r w:rsidRPr="009B425C">
        <w:rPr>
          <w:rFonts w:ascii="Arial" w:hAnsi="Arial" w:cs="Arial"/>
          <w:b/>
          <w:sz w:val="23"/>
          <w:szCs w:val="23"/>
        </w:rPr>
        <w:t>rapporto tra professionista e azienda</w:t>
      </w:r>
      <w:r w:rsidRPr="00B061E3">
        <w:rPr>
          <w:rFonts w:ascii="Arial" w:hAnsi="Arial" w:cs="Arial"/>
          <w:bCs/>
          <w:sz w:val="23"/>
          <w:szCs w:val="23"/>
        </w:rPr>
        <w:t xml:space="preserve"> perché possa consolidarsi su fondamenta rappresentate anche dalla capacità di diffondere un approccio che garantisca il </w:t>
      </w:r>
      <w:r w:rsidRPr="009B425C">
        <w:rPr>
          <w:rFonts w:ascii="Arial" w:hAnsi="Arial" w:cs="Arial"/>
          <w:b/>
          <w:sz w:val="23"/>
          <w:szCs w:val="23"/>
        </w:rPr>
        <w:t>passaggio da un’attività di “consulenza professionale” a un’attività di “azione aziendale”</w:t>
      </w:r>
      <w:r w:rsidRPr="00B061E3">
        <w:rPr>
          <w:rFonts w:ascii="Arial" w:hAnsi="Arial" w:cs="Arial"/>
          <w:bCs/>
          <w:sz w:val="23"/>
          <w:szCs w:val="23"/>
        </w:rPr>
        <w:t>, dove competenze tecniche e sensibilità imprenditoriali costituiscano elementi complementari ai fini di un’efficace pianificazione strategica e gestionale negli scenari della sostenibilità e di una crescente inclusione dei fattori e dei fenomeni ESG nelle decisioni d’impresa.</w:t>
      </w:r>
      <w:r w:rsidR="00F00049">
        <w:rPr>
          <w:rFonts w:ascii="Arial" w:hAnsi="Arial" w:cs="Arial"/>
          <w:bCs/>
          <w:sz w:val="23"/>
          <w:szCs w:val="23"/>
        </w:rPr>
        <w:t xml:space="preserve"> </w:t>
      </w:r>
      <w:r w:rsidRPr="00B061E3">
        <w:rPr>
          <w:rFonts w:ascii="Arial" w:hAnsi="Arial" w:cs="Arial"/>
          <w:bCs/>
          <w:sz w:val="23"/>
          <w:szCs w:val="23"/>
        </w:rPr>
        <w:t xml:space="preserve">In definitiva, </w:t>
      </w:r>
      <w:bookmarkStart w:id="0" w:name="_MailAutoSig"/>
      <w:r w:rsidRPr="00B061E3">
        <w:rPr>
          <w:rFonts w:ascii="Arial" w:hAnsi="Arial" w:cs="Arial"/>
          <w:sz w:val="23"/>
          <w:szCs w:val="23"/>
        </w:rPr>
        <w:t xml:space="preserve">si cerca di fornire qualche spunto per riflettere su dove tutto questo ci stia conducendo, con riguardo allo </w:t>
      </w:r>
      <w:r w:rsidRPr="00D65A9A">
        <w:rPr>
          <w:rFonts w:ascii="Arial" w:hAnsi="Arial" w:cs="Arial"/>
          <w:b/>
          <w:bCs/>
          <w:sz w:val="23"/>
          <w:szCs w:val="23"/>
        </w:rPr>
        <w:t>sviluppo delle competenze professionali</w:t>
      </w:r>
      <w:r w:rsidRPr="00B061E3">
        <w:rPr>
          <w:rFonts w:ascii="Arial" w:hAnsi="Arial" w:cs="Arial"/>
          <w:sz w:val="23"/>
          <w:szCs w:val="23"/>
        </w:rPr>
        <w:t>, all’</w:t>
      </w:r>
      <w:r w:rsidRPr="00D65A9A">
        <w:rPr>
          <w:rFonts w:ascii="Arial" w:hAnsi="Arial" w:cs="Arial"/>
          <w:b/>
          <w:bCs/>
          <w:sz w:val="23"/>
          <w:szCs w:val="23"/>
        </w:rPr>
        <w:t xml:space="preserve">utilizzo della tecnologia </w:t>
      </w:r>
      <w:r w:rsidRPr="00B061E3">
        <w:rPr>
          <w:rFonts w:ascii="Arial" w:hAnsi="Arial" w:cs="Arial"/>
          <w:sz w:val="23"/>
          <w:szCs w:val="23"/>
        </w:rPr>
        <w:t>e allo scenario del sistema nel suo complesso.</w:t>
      </w:r>
      <w:bookmarkEnd w:id="0"/>
    </w:p>
    <w:sectPr w:rsidR="00F0004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37A5" w14:textId="77777777" w:rsidR="0039231F" w:rsidRDefault="0039231F" w:rsidP="009E7020">
      <w:pPr>
        <w:spacing w:after="0" w:line="240" w:lineRule="auto"/>
      </w:pPr>
      <w:r>
        <w:separator/>
      </w:r>
    </w:p>
  </w:endnote>
  <w:endnote w:type="continuationSeparator" w:id="0">
    <w:p w14:paraId="62716FEF" w14:textId="77777777" w:rsidR="0039231F" w:rsidRDefault="0039231F" w:rsidP="009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9E64E" w14:textId="77777777" w:rsidR="0039231F" w:rsidRDefault="0039231F" w:rsidP="009E7020">
      <w:pPr>
        <w:spacing w:after="0" w:line="240" w:lineRule="auto"/>
      </w:pPr>
      <w:r>
        <w:separator/>
      </w:r>
    </w:p>
  </w:footnote>
  <w:footnote w:type="continuationSeparator" w:id="0">
    <w:p w14:paraId="4A7B882A" w14:textId="77777777" w:rsidR="0039231F" w:rsidRDefault="0039231F" w:rsidP="009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5C5" w14:textId="7EBAE532" w:rsidR="009E7020" w:rsidRDefault="009E7020" w:rsidP="009E7020">
    <w:pPr>
      <w:pStyle w:val="Intestazione"/>
      <w:jc w:val="center"/>
    </w:pPr>
    <w:r>
      <w:rPr>
        <w:noProof/>
      </w:rPr>
      <w:drawing>
        <wp:inline distT="0" distB="0" distL="0" distR="0" wp14:anchorId="62F79B49" wp14:editId="500D1D8E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F"/>
    <w:rsid w:val="000612EC"/>
    <w:rsid w:val="00076906"/>
    <w:rsid w:val="000934B2"/>
    <w:rsid w:val="000D52F6"/>
    <w:rsid w:val="00100C48"/>
    <w:rsid w:val="0012231B"/>
    <w:rsid w:val="001578AD"/>
    <w:rsid w:val="00252B41"/>
    <w:rsid w:val="00264582"/>
    <w:rsid w:val="0039231F"/>
    <w:rsid w:val="004B2F6A"/>
    <w:rsid w:val="005975ED"/>
    <w:rsid w:val="005D2D2C"/>
    <w:rsid w:val="00622E7A"/>
    <w:rsid w:val="006504C8"/>
    <w:rsid w:val="00746C58"/>
    <w:rsid w:val="007F03B4"/>
    <w:rsid w:val="00812068"/>
    <w:rsid w:val="00872908"/>
    <w:rsid w:val="00886EAF"/>
    <w:rsid w:val="0093440C"/>
    <w:rsid w:val="009B425C"/>
    <w:rsid w:val="009E7020"/>
    <w:rsid w:val="009F6E09"/>
    <w:rsid w:val="00A149E8"/>
    <w:rsid w:val="00A8751B"/>
    <w:rsid w:val="00B061E3"/>
    <w:rsid w:val="00B36709"/>
    <w:rsid w:val="00B53CEB"/>
    <w:rsid w:val="00C22784"/>
    <w:rsid w:val="00CD70AC"/>
    <w:rsid w:val="00D4403B"/>
    <w:rsid w:val="00D5168C"/>
    <w:rsid w:val="00D56E0F"/>
    <w:rsid w:val="00D57444"/>
    <w:rsid w:val="00D65A9A"/>
    <w:rsid w:val="00E45B35"/>
    <w:rsid w:val="00ED5402"/>
    <w:rsid w:val="00F00049"/>
    <w:rsid w:val="00F55B6A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A4A"/>
  <w15:chartTrackingRefBased/>
  <w15:docId w15:val="{BDE6875F-C4DE-417E-9D00-6CA7C64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20"/>
  </w:style>
  <w:style w:type="paragraph" w:styleId="Pidipagina">
    <w:name w:val="footer"/>
    <w:basedOn w:val="Normale"/>
    <w:link w:val="Pidipagina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Regalbuto Salvatore</dc:creator>
  <cp:keywords/>
  <dc:description/>
  <cp:lastModifiedBy>Mastrogiacomo Tiziana</cp:lastModifiedBy>
  <cp:revision>18</cp:revision>
  <dcterms:created xsi:type="dcterms:W3CDTF">2024-11-05T08:54:00Z</dcterms:created>
  <dcterms:modified xsi:type="dcterms:W3CDTF">2024-11-05T10:49:00Z</dcterms:modified>
</cp:coreProperties>
</file>